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A3BB8C" w14:textId="77777777" w:rsidR="00A116CE" w:rsidRDefault="004E7B23">
      <w:pPr>
        <w:pStyle w:val="Heading"/>
      </w:pPr>
      <w:r>
        <w:t>Maximize Your Wellness Visits for Patients with Chronic Disease</w:t>
      </w:r>
    </w:p>
    <w:p w14:paraId="335EE1D2" w14:textId="5CF81C58" w:rsidR="00A116CE" w:rsidRDefault="004E7B23">
      <w:pPr>
        <w:pStyle w:val="BodyA"/>
        <w:rPr>
          <w:rFonts w:ascii="Calibri" w:eastAsia="Calibri" w:hAnsi="Calibri" w:cs="Calibri"/>
          <w:sz w:val="22"/>
          <w:szCs w:val="22"/>
        </w:rPr>
      </w:pPr>
      <w:r>
        <w:rPr>
          <w:rFonts w:ascii="Calibri" w:eastAsia="Calibri" w:hAnsi="Calibri" w:cs="Calibri"/>
          <w:b/>
          <w:bCs/>
          <w:sz w:val="22"/>
          <w:szCs w:val="22"/>
        </w:rPr>
        <w:t>In the eyes of a provider</w:t>
      </w:r>
      <w:r w:rsidR="00956A3F">
        <w:rPr>
          <w:rFonts w:ascii="Calibri" w:eastAsia="Calibri" w:hAnsi="Calibri" w:cs="Calibri"/>
          <w:sz w:val="22"/>
          <w:szCs w:val="22"/>
        </w:rPr>
        <w:t>, wellness visits are</w:t>
      </w:r>
      <w:r>
        <w:rPr>
          <w:rFonts w:ascii="Calibri" w:eastAsia="Calibri" w:hAnsi="Calibri" w:cs="Calibri"/>
          <w:sz w:val="22"/>
          <w:szCs w:val="22"/>
        </w:rPr>
        <w:t xml:space="preserve"> a chance to ensure a patient’s checklist is complete: vaccinations up to date, colonoscopies and mammograms schedul</w:t>
      </w:r>
      <w:r w:rsidR="00956A3F">
        <w:rPr>
          <w:rFonts w:ascii="Calibri" w:eastAsia="Calibri" w:hAnsi="Calibri" w:cs="Calibri"/>
          <w:sz w:val="22"/>
          <w:szCs w:val="22"/>
        </w:rPr>
        <w:t>ed, medications managed</w:t>
      </w:r>
      <w:r>
        <w:rPr>
          <w:rFonts w:ascii="Calibri" w:eastAsia="Calibri" w:hAnsi="Calibri" w:cs="Calibri"/>
          <w:sz w:val="22"/>
          <w:szCs w:val="22"/>
        </w:rPr>
        <w:t xml:space="preserve"> to get patients </w:t>
      </w:r>
      <w:r w:rsidR="000A5F18">
        <w:rPr>
          <w:rFonts w:ascii="Calibri" w:eastAsia="Calibri" w:hAnsi="Calibri" w:cs="Calibri"/>
          <w:sz w:val="22"/>
          <w:szCs w:val="22"/>
        </w:rPr>
        <w:t>in line with evidence-based</w:t>
      </w:r>
      <w:r>
        <w:rPr>
          <w:rFonts w:ascii="Calibri" w:eastAsia="Calibri" w:hAnsi="Calibri" w:cs="Calibri"/>
          <w:sz w:val="22"/>
          <w:szCs w:val="22"/>
        </w:rPr>
        <w:t xml:space="preserve"> guidelines. Providers </w:t>
      </w:r>
      <w:r w:rsidR="000A5F18">
        <w:rPr>
          <w:rFonts w:ascii="Calibri" w:eastAsia="Calibri" w:hAnsi="Calibri" w:cs="Calibri"/>
          <w:sz w:val="22"/>
          <w:szCs w:val="22"/>
        </w:rPr>
        <w:t>may</w:t>
      </w:r>
      <w:r>
        <w:rPr>
          <w:rFonts w:ascii="Calibri" w:eastAsia="Calibri" w:hAnsi="Calibri" w:cs="Calibri"/>
          <w:sz w:val="22"/>
          <w:szCs w:val="22"/>
        </w:rPr>
        <w:t xml:space="preserve"> give a perfunctory reminder to get weight down</w:t>
      </w:r>
      <w:r w:rsidR="000A5F18">
        <w:rPr>
          <w:rFonts w:ascii="Calibri" w:eastAsia="Calibri" w:hAnsi="Calibri" w:cs="Calibri"/>
          <w:sz w:val="22"/>
          <w:szCs w:val="22"/>
        </w:rPr>
        <w:t>, stop smoking, cut down on alcohol</w:t>
      </w:r>
      <w:r>
        <w:rPr>
          <w:rFonts w:ascii="Calibri" w:eastAsia="Calibri" w:hAnsi="Calibri" w:cs="Calibri"/>
          <w:sz w:val="22"/>
          <w:szCs w:val="22"/>
        </w:rPr>
        <w:t xml:space="preserve"> and exercise regularly. The electronic medical record makes it easy to complete this standard protocol and send the patient back on their way. </w:t>
      </w:r>
    </w:p>
    <w:p w14:paraId="5A0A07B5" w14:textId="77777777" w:rsidR="00A116CE" w:rsidRDefault="004E7B23">
      <w:pPr>
        <w:pStyle w:val="BodyA"/>
        <w:rPr>
          <w:rFonts w:ascii="Calibri" w:eastAsia="Calibri" w:hAnsi="Calibri" w:cs="Calibri"/>
          <w:sz w:val="22"/>
          <w:szCs w:val="22"/>
        </w:rPr>
      </w:pPr>
      <w:r>
        <w:rPr>
          <w:rFonts w:ascii="Calibri" w:eastAsia="Calibri" w:hAnsi="Calibri" w:cs="Calibri"/>
          <w:noProof/>
          <w:sz w:val="22"/>
          <w:szCs w:val="22"/>
        </w:rPr>
        <mc:AlternateContent>
          <mc:Choice Requires="wps">
            <w:drawing>
              <wp:anchor distT="80010" distB="80010" distL="80010" distR="80010" simplePos="0" relativeHeight="251659264" behindDoc="0" locked="0" layoutInCell="1" allowOverlap="1" wp14:anchorId="273C2FA6" wp14:editId="4AFCCC3F">
                <wp:simplePos x="0" y="0"/>
                <wp:positionH relativeFrom="page">
                  <wp:posOffset>4937760</wp:posOffset>
                </wp:positionH>
                <wp:positionV relativeFrom="line">
                  <wp:posOffset>164464</wp:posOffset>
                </wp:positionV>
                <wp:extent cx="2141220" cy="2118360"/>
                <wp:effectExtent l="0" t="0" r="0" b="0"/>
                <wp:wrapSquare wrapText="bothSides" distT="80010" distB="80010" distL="80010" distR="80010"/>
                <wp:docPr id="1073741828" name="officeArt object" descr="Text Box 2"/>
                <wp:cNvGraphicFramePr/>
                <a:graphic xmlns:a="http://schemas.openxmlformats.org/drawingml/2006/main">
                  <a:graphicData uri="http://schemas.microsoft.com/office/word/2010/wordprocessingShape">
                    <wps:wsp>
                      <wps:cNvSpPr txBox="1"/>
                      <wps:spPr>
                        <a:xfrm>
                          <a:off x="0" y="0"/>
                          <a:ext cx="2141220" cy="2118360"/>
                        </a:xfrm>
                        <a:prstGeom prst="rect">
                          <a:avLst/>
                        </a:prstGeom>
                        <a:solidFill>
                          <a:srgbClr val="FFFFFF"/>
                        </a:solidFill>
                        <a:ln w="9525" cap="flat">
                          <a:solidFill>
                            <a:srgbClr val="000000"/>
                          </a:solidFill>
                          <a:prstDash val="solid"/>
                          <a:miter lim="800000"/>
                        </a:ln>
                        <a:effectLst/>
                      </wps:spPr>
                      <wps:txbx>
                        <w:txbxContent>
                          <w:p w14:paraId="69932158" w14:textId="77777777" w:rsidR="00A116CE" w:rsidRDefault="004E7B23">
                            <w:pPr>
                              <w:pStyle w:val="BodyA"/>
                              <w:jc w:val="center"/>
                              <w:rPr>
                                <w:rFonts w:ascii="Calibri" w:eastAsia="Calibri" w:hAnsi="Calibri" w:cs="Calibri"/>
                              </w:rPr>
                            </w:pPr>
                            <w:r>
                              <w:rPr>
                                <w:rFonts w:ascii="Calibri Light" w:eastAsia="Calibri Light" w:hAnsi="Calibri Light" w:cs="Calibri Light"/>
                                <w:color w:val="2F5496"/>
                                <w:sz w:val="28"/>
                                <w:szCs w:val="28"/>
                                <w:u w:color="2F5496"/>
                              </w:rPr>
                              <w:t>3 Steps to Optimize Wellness Visits</w:t>
                            </w:r>
                          </w:p>
                          <w:p w14:paraId="4C732142" w14:textId="77777777" w:rsidR="00A116CE" w:rsidRDefault="004E7B23">
                            <w:pPr>
                              <w:pStyle w:val="ListParagraph"/>
                              <w:numPr>
                                <w:ilvl w:val="0"/>
                                <w:numId w:val="1"/>
                              </w:numPr>
                            </w:pPr>
                            <w:r>
                              <w:t>Make a HOPE Note standard practice</w:t>
                            </w:r>
                          </w:p>
                          <w:p w14:paraId="77CFB737" w14:textId="77777777" w:rsidR="00A116CE" w:rsidRDefault="004E7B23">
                            <w:pPr>
                              <w:pStyle w:val="ListParagraph"/>
                              <w:numPr>
                                <w:ilvl w:val="0"/>
                                <w:numId w:val="1"/>
                              </w:numPr>
                            </w:pPr>
                            <w:r>
                              <w:t>Train a staff member to be a health coach</w:t>
                            </w:r>
                          </w:p>
                          <w:p w14:paraId="76B4BBCD" w14:textId="77777777" w:rsidR="00A116CE" w:rsidRDefault="004E7B23">
                            <w:pPr>
                              <w:pStyle w:val="ListParagraph"/>
                              <w:numPr>
                                <w:ilvl w:val="0"/>
                                <w:numId w:val="1"/>
                              </w:numPr>
                            </w:pPr>
                            <w:r>
                              <w:t>Streamline wellness visits so that the health coach gains efficiency and productivity</w:t>
                            </w:r>
                          </w:p>
                        </w:txbxContent>
                      </wps:txbx>
                      <wps:bodyPr wrap="square" lIns="45718" tIns="45718" rIns="45718" bIns="45718" numCol="1" anchor="t">
                        <a:noAutofit/>
                      </wps:bodyPr>
                    </wps:wsp>
                  </a:graphicData>
                </a:graphic>
              </wp:anchor>
            </w:drawing>
          </mc:Choice>
          <mc:Fallback>
            <w:pict>
              <v:shapetype w14:anchorId="273C2FA6" id="_x0000_t202" coordsize="21600,21600" o:spt="202" path="m,l,21600r21600,l21600,xe">
                <v:stroke joinstyle="miter"/>
                <v:path gradientshapeok="t" o:connecttype="rect"/>
              </v:shapetype>
              <v:shape id="officeArt object" o:spid="_x0000_s1026" type="#_x0000_t202" alt="Text Box 2" style="position:absolute;margin-left:388.8pt;margin-top:12.95pt;width:168.6pt;height:166.8pt;z-index:25165926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">
                <v:textbox inset="1.2699mm,1.2699mm,1.2699mm,1.2699mm">
                  <w:txbxContent>
                    <w:p w14:paraId="69932158" w14:textId="77777777" w:rsidR="00A116CE" w:rsidRDefault="004E7B23">
                      <w:pPr>
                        <w:pStyle w:val="BodyA"/>
                        <w:jc w:val="center"/>
                        <w:rPr>
                          <w:rFonts w:ascii="Calibri" w:eastAsia="Calibri" w:hAnsi="Calibri" w:cs="Calibri"/>
                        </w:rPr>
                      </w:pPr>
                      <w:r>
                        <w:rPr>
                          <w:rFonts w:ascii="Calibri Light" w:eastAsia="Calibri Light" w:hAnsi="Calibri Light" w:cs="Calibri Light"/>
                          <w:color w:val="2F5496"/>
                          <w:sz w:val="28"/>
                          <w:szCs w:val="28"/>
                          <w:u w:color="2F5496"/>
                        </w:rPr>
                        <w:t>3 Steps to Optimize Wellness Visits</w:t>
                      </w:r>
                    </w:p>
                    <w:p w14:paraId="4C732142" w14:textId="77777777" w:rsidR="00A116CE" w:rsidRDefault="004E7B23">
                      <w:pPr>
                        <w:pStyle w:val="ListParagraph"/>
                        <w:numPr>
                          <w:ilvl w:val="0"/>
                          <w:numId w:val="1"/>
                        </w:numPr>
                      </w:pPr>
                      <w:r>
                        <w:t>Make a HOPE Note standard practice</w:t>
                      </w:r>
                    </w:p>
                    <w:p w14:paraId="77CFB737" w14:textId="77777777" w:rsidR="00A116CE" w:rsidRDefault="004E7B23">
                      <w:pPr>
                        <w:pStyle w:val="ListParagraph"/>
                        <w:numPr>
                          <w:ilvl w:val="0"/>
                          <w:numId w:val="1"/>
                        </w:numPr>
                      </w:pPr>
                      <w:r>
                        <w:t>Train a staff member to be a health coach</w:t>
                      </w:r>
                    </w:p>
                    <w:p w14:paraId="76B4BBCD" w14:textId="77777777" w:rsidR="00A116CE" w:rsidRDefault="004E7B23">
                      <w:pPr>
                        <w:pStyle w:val="ListParagraph"/>
                        <w:numPr>
                          <w:ilvl w:val="0"/>
                          <w:numId w:val="1"/>
                        </w:numPr>
                      </w:pPr>
                      <w:r>
                        <w:t>Streamline wellness visits so that the health coach gains efficiency and productivity</w:t>
                      </w:r>
                    </w:p>
                  </w:txbxContent>
                </v:textbox>
                <w10:wrap type="square" anchorx="page" anchory="line"/>
              </v:shape>
            </w:pict>
          </mc:Fallback>
        </mc:AlternateContent>
      </w:r>
    </w:p>
    <w:p w14:paraId="4DD6A376" w14:textId="77777777" w:rsidR="00A116CE" w:rsidRDefault="004E7B23">
      <w:pPr>
        <w:pStyle w:val="BodyA"/>
        <w:rPr>
          <w:rFonts w:ascii="Calibri" w:eastAsia="Calibri" w:hAnsi="Calibri" w:cs="Calibri"/>
          <w:sz w:val="22"/>
          <w:szCs w:val="22"/>
        </w:rPr>
      </w:pPr>
      <w:r>
        <w:rPr>
          <w:rFonts w:ascii="Calibri" w:eastAsia="Calibri" w:hAnsi="Calibri" w:cs="Calibri"/>
          <w:b/>
          <w:bCs/>
          <w:sz w:val="22"/>
          <w:szCs w:val="22"/>
        </w:rPr>
        <w:t xml:space="preserve">In the eyes of the patient, </w:t>
      </w:r>
      <w:r>
        <w:rPr>
          <w:rFonts w:ascii="Calibri" w:eastAsia="Calibri" w:hAnsi="Calibri" w:cs="Calibri"/>
          <w:sz w:val="22"/>
          <w:szCs w:val="22"/>
        </w:rPr>
        <w:t>wellness visits look like a one-stop-shop: get prescriptions refilled, schedule screenings, no deductible or</w:t>
      </w:r>
      <w:r>
        <w:rPr>
          <w:rFonts w:ascii="Calibri" w:eastAsia="Calibri" w:hAnsi="Calibri" w:cs="Calibri"/>
          <w:sz w:val="22"/>
          <w:szCs w:val="22"/>
          <w:lang w:val="es-ES_tradnl"/>
        </w:rPr>
        <w:t xml:space="preserve"> no </w:t>
      </w:r>
      <w:r>
        <w:rPr>
          <w:rFonts w:ascii="Calibri" w:eastAsia="Calibri" w:hAnsi="Calibri" w:cs="Calibri"/>
          <w:sz w:val="22"/>
          <w:szCs w:val="22"/>
        </w:rPr>
        <w:t>co-pay. And it only costs a half-day off work.</w:t>
      </w:r>
    </w:p>
    <w:p w14:paraId="3E49D79C" w14:textId="77777777" w:rsidR="00A116CE" w:rsidRDefault="00A116CE">
      <w:pPr>
        <w:pStyle w:val="BodyA"/>
        <w:rPr>
          <w:rFonts w:ascii="Calibri" w:eastAsia="Calibri" w:hAnsi="Calibri" w:cs="Calibri"/>
          <w:sz w:val="22"/>
          <w:szCs w:val="22"/>
        </w:rPr>
      </w:pPr>
    </w:p>
    <w:p w14:paraId="31E14B2C" w14:textId="0DA9BA24" w:rsidR="00A116CE" w:rsidRDefault="004E7B23">
      <w:pPr>
        <w:pStyle w:val="BodyA"/>
        <w:rPr>
          <w:rFonts w:ascii="Calibri" w:eastAsia="Calibri" w:hAnsi="Calibri" w:cs="Calibri"/>
          <w:sz w:val="22"/>
          <w:szCs w:val="22"/>
        </w:rPr>
      </w:pPr>
      <w:r>
        <w:rPr>
          <w:rFonts w:ascii="Calibri" w:eastAsia="Calibri" w:hAnsi="Calibri" w:cs="Calibri"/>
          <w:sz w:val="22"/>
          <w:szCs w:val="22"/>
        </w:rPr>
        <w:t xml:space="preserve">But is this the optimal path to health-and-well-being for patients </w:t>
      </w:r>
      <w:r w:rsidR="000A5F18">
        <w:rPr>
          <w:rFonts w:ascii="Calibri" w:eastAsia="Calibri" w:hAnsi="Calibri" w:cs="Calibri"/>
          <w:sz w:val="22"/>
          <w:szCs w:val="22"/>
        </w:rPr>
        <w:t xml:space="preserve">at risk for or </w:t>
      </w:r>
      <w:r>
        <w:rPr>
          <w:rFonts w:ascii="Calibri" w:eastAsia="Calibri" w:hAnsi="Calibri" w:cs="Calibri"/>
          <w:sz w:val="22"/>
          <w:szCs w:val="22"/>
        </w:rPr>
        <w:t xml:space="preserve">with chronic disease? Unfortunately, there is little </w:t>
      </w:r>
      <w:r w:rsidR="000A5F18">
        <w:rPr>
          <w:rFonts w:ascii="Calibri" w:eastAsia="Calibri" w:hAnsi="Calibri" w:cs="Calibri"/>
          <w:sz w:val="22"/>
          <w:szCs w:val="22"/>
        </w:rPr>
        <w:t xml:space="preserve">health promotion or chronic disease reversal in disease care. Disease care </w:t>
      </w:r>
      <w:r>
        <w:rPr>
          <w:rFonts w:ascii="Calibri" w:eastAsia="Calibri" w:hAnsi="Calibri" w:cs="Calibri"/>
          <w:sz w:val="22"/>
          <w:szCs w:val="22"/>
        </w:rPr>
        <w:t>often leaves providers frustrated and burned out</w:t>
      </w:r>
      <w:r w:rsidR="000A5F18">
        <w:rPr>
          <w:rFonts w:ascii="Calibri" w:eastAsia="Calibri" w:hAnsi="Calibri" w:cs="Calibri"/>
          <w:sz w:val="22"/>
          <w:szCs w:val="22"/>
        </w:rPr>
        <w:t>, running on the treadmill of the checklist and its administrative burdens</w:t>
      </w:r>
      <w:r>
        <w:rPr>
          <w:rFonts w:ascii="Calibri" w:eastAsia="Calibri" w:hAnsi="Calibri" w:cs="Calibri"/>
          <w:sz w:val="22"/>
          <w:szCs w:val="22"/>
        </w:rPr>
        <w:t>. Patients are left on the</w:t>
      </w:r>
      <w:r w:rsidR="000A5F18">
        <w:rPr>
          <w:rFonts w:ascii="Calibri" w:eastAsia="Calibri" w:hAnsi="Calibri" w:cs="Calibri"/>
          <w:sz w:val="22"/>
          <w:szCs w:val="22"/>
        </w:rPr>
        <w:t>ir own to tackle</w:t>
      </w:r>
      <w:r w:rsidR="005A7716">
        <w:rPr>
          <w:rFonts w:ascii="Calibri" w:eastAsia="Calibri" w:hAnsi="Calibri" w:cs="Calibri"/>
          <w:sz w:val="22"/>
          <w:szCs w:val="22"/>
        </w:rPr>
        <w:t xml:space="preserve"> healing factors that</w:t>
      </w:r>
      <w:r>
        <w:rPr>
          <w:rFonts w:ascii="Calibri" w:eastAsia="Calibri" w:hAnsi="Calibri" w:cs="Calibri"/>
          <w:sz w:val="22"/>
          <w:szCs w:val="22"/>
        </w:rPr>
        <w:t xml:space="preserve"> </w:t>
      </w:r>
      <w:r w:rsidR="005A7716">
        <w:rPr>
          <w:rFonts w:ascii="Calibri" w:eastAsia="Calibri" w:hAnsi="Calibri" w:cs="Calibri"/>
          <w:sz w:val="22"/>
          <w:szCs w:val="22"/>
        </w:rPr>
        <w:t>come</w:t>
      </w:r>
      <w:r w:rsidR="000A5F18">
        <w:rPr>
          <w:rFonts w:ascii="Calibri" w:eastAsia="Calibri" w:hAnsi="Calibri" w:cs="Calibri"/>
          <w:sz w:val="22"/>
          <w:szCs w:val="22"/>
        </w:rPr>
        <w:t xml:space="preserve"> from</w:t>
      </w:r>
      <w:r>
        <w:rPr>
          <w:rFonts w:ascii="Calibri" w:eastAsia="Calibri" w:hAnsi="Calibri" w:cs="Calibri"/>
          <w:sz w:val="22"/>
          <w:szCs w:val="22"/>
        </w:rPr>
        <w:t xml:space="preserve"> outside the doctor’s office, </w:t>
      </w:r>
      <w:r w:rsidR="000A5F18">
        <w:rPr>
          <w:rFonts w:ascii="Calibri" w:eastAsia="Calibri" w:hAnsi="Calibri" w:cs="Calibri"/>
          <w:sz w:val="22"/>
          <w:szCs w:val="22"/>
        </w:rPr>
        <w:t xml:space="preserve">with little assistance </w:t>
      </w:r>
      <w:r w:rsidR="005A7716">
        <w:rPr>
          <w:rFonts w:ascii="Calibri" w:eastAsia="Calibri" w:hAnsi="Calibri" w:cs="Calibri"/>
          <w:sz w:val="22"/>
          <w:szCs w:val="22"/>
        </w:rPr>
        <w:t xml:space="preserve">on how </w:t>
      </w:r>
      <w:r>
        <w:rPr>
          <w:rFonts w:ascii="Calibri" w:eastAsia="Calibri" w:hAnsi="Calibri" w:cs="Calibri"/>
          <w:sz w:val="22"/>
          <w:szCs w:val="22"/>
        </w:rPr>
        <w:t xml:space="preserve">to change behavior or deal with </w:t>
      </w:r>
      <w:r w:rsidR="005A7716">
        <w:rPr>
          <w:rFonts w:ascii="Calibri" w:eastAsia="Calibri" w:hAnsi="Calibri" w:cs="Calibri"/>
          <w:sz w:val="22"/>
          <w:szCs w:val="22"/>
        </w:rPr>
        <w:t>guilt if they cannot change. Yet</w:t>
      </w:r>
      <w:r>
        <w:rPr>
          <w:rFonts w:ascii="Calibri" w:eastAsia="Calibri" w:hAnsi="Calibri" w:cs="Calibri"/>
          <w:sz w:val="22"/>
          <w:szCs w:val="22"/>
        </w:rPr>
        <w:t xml:space="preserve"> eighty percent of health comes from the personal determinates of health</w:t>
      </w:r>
      <w:r w:rsidR="005A7716">
        <w:rPr>
          <w:rFonts w:ascii="Calibri" w:eastAsia="Calibri" w:hAnsi="Calibri" w:cs="Calibri"/>
          <w:sz w:val="22"/>
          <w:szCs w:val="22"/>
        </w:rPr>
        <w:t xml:space="preserve"> that occur outside the medical environment</w:t>
      </w:r>
      <w:r>
        <w:rPr>
          <w:rFonts w:ascii="Calibri" w:eastAsia="Calibri" w:hAnsi="Calibri" w:cs="Calibri"/>
          <w:sz w:val="22"/>
          <w:szCs w:val="22"/>
        </w:rPr>
        <w:t xml:space="preserve"> - social and emotional factors, lifestyle and behaviors, mental and spiritual factors, and the physical environment. Very few health care encounters deliver treatments that address these determinants of health. </w:t>
      </w:r>
    </w:p>
    <w:p w14:paraId="2B0DA61C" w14:textId="77777777" w:rsidR="00A116CE" w:rsidRDefault="00A116CE">
      <w:pPr>
        <w:pStyle w:val="BodyA"/>
        <w:rPr>
          <w:rFonts w:ascii="Calibri" w:eastAsia="Calibri" w:hAnsi="Calibri" w:cs="Calibri"/>
          <w:sz w:val="22"/>
          <w:szCs w:val="22"/>
        </w:rPr>
      </w:pPr>
    </w:p>
    <w:p w14:paraId="45AA52D1" w14:textId="0055E7F1" w:rsidR="00A116CE" w:rsidRDefault="004E7B23">
      <w:pPr>
        <w:pStyle w:val="BodyA"/>
        <w:rPr>
          <w:rFonts w:ascii="Calibri" w:eastAsia="Calibri" w:hAnsi="Calibri" w:cs="Calibri"/>
          <w:sz w:val="22"/>
          <w:szCs w:val="22"/>
        </w:rPr>
      </w:pPr>
      <w:r>
        <w:rPr>
          <w:rFonts w:ascii="Calibri" w:eastAsia="Calibri" w:hAnsi="Calibri" w:cs="Calibri"/>
          <w:sz w:val="22"/>
          <w:szCs w:val="22"/>
        </w:rPr>
        <w:t xml:space="preserve">Chronic disease </w:t>
      </w:r>
      <w:r w:rsidR="005A7716">
        <w:rPr>
          <w:rFonts w:ascii="Calibri" w:eastAsia="Calibri" w:hAnsi="Calibri" w:cs="Calibri"/>
          <w:sz w:val="22"/>
          <w:szCs w:val="22"/>
        </w:rPr>
        <w:t xml:space="preserve">management </w:t>
      </w:r>
      <w:r>
        <w:rPr>
          <w:rFonts w:ascii="Calibri" w:eastAsia="Calibri" w:hAnsi="Calibri" w:cs="Calibri"/>
          <w:sz w:val="22"/>
          <w:szCs w:val="22"/>
        </w:rPr>
        <w:t xml:space="preserve">requires an approach in which the whole person is considered—where the focus is not just on countering illness, but also on promoting health-and-well-being; where </w:t>
      </w:r>
      <w:r>
        <w:rPr>
          <w:rFonts w:ascii="Calibri" w:eastAsia="Calibri" w:hAnsi="Calibri" w:cs="Calibri"/>
          <w:i/>
          <w:iCs/>
          <w:sz w:val="22"/>
          <w:szCs w:val="22"/>
        </w:rPr>
        <w:t>healing</w:t>
      </w:r>
      <w:r>
        <w:rPr>
          <w:rFonts w:ascii="Calibri" w:eastAsia="Calibri" w:hAnsi="Calibri" w:cs="Calibri"/>
          <w:sz w:val="22"/>
          <w:szCs w:val="22"/>
        </w:rPr>
        <w:t xml:space="preserve"> is as important as managing illness. Where we ask, “What matters?”, and not just “What is the matter?”</w:t>
      </w:r>
    </w:p>
    <w:p w14:paraId="3238032E" w14:textId="3E1ED9A4" w:rsidR="00A116CE" w:rsidRDefault="004E7B23">
      <w:pPr>
        <w:pStyle w:val="Heading"/>
      </w:pPr>
      <w:r>
        <w:t>How to Add Healing to a</w:t>
      </w:r>
      <w:r w:rsidR="00330C19">
        <w:t>n Office</w:t>
      </w:r>
      <w:r>
        <w:t xml:space="preserve"> Visit</w:t>
      </w:r>
      <w:r w:rsidR="00330C19">
        <w:t xml:space="preserve"> and Beyond</w:t>
      </w:r>
    </w:p>
    <w:p w14:paraId="29DEBABA" w14:textId="29E173E2" w:rsidR="00A116CE" w:rsidRDefault="004E7B23">
      <w:pPr>
        <w:pStyle w:val="BodyA"/>
        <w:rPr>
          <w:rFonts w:ascii="Calibri" w:eastAsia="Calibri" w:hAnsi="Calibri" w:cs="Calibri"/>
          <w:sz w:val="22"/>
          <w:szCs w:val="22"/>
        </w:rPr>
      </w:pPr>
      <w:r>
        <w:rPr>
          <w:rFonts w:ascii="Calibri" w:eastAsia="Calibri" w:hAnsi="Calibri" w:cs="Calibri"/>
          <w:b/>
          <w:bCs/>
          <w:sz w:val="22"/>
          <w:szCs w:val="22"/>
        </w:rPr>
        <w:t>From an integrative health perspective,</w:t>
      </w:r>
      <w:r w:rsidR="00330C19">
        <w:rPr>
          <w:rFonts w:ascii="Calibri" w:eastAsia="Calibri" w:hAnsi="Calibri" w:cs="Calibri"/>
          <w:sz w:val="22"/>
          <w:szCs w:val="22"/>
        </w:rPr>
        <w:t xml:space="preserve"> office </w:t>
      </w:r>
      <w:r>
        <w:rPr>
          <w:rFonts w:ascii="Calibri" w:eastAsia="Calibri" w:hAnsi="Calibri" w:cs="Calibri"/>
          <w:sz w:val="22"/>
          <w:szCs w:val="22"/>
        </w:rPr>
        <w:t>visits need to be more than a prescription refill. Integrative health visits provide an opportunity to invest in a patient’s healing, talk about</w:t>
      </w:r>
      <w:r w:rsidR="00330C19">
        <w:rPr>
          <w:rFonts w:ascii="Calibri" w:eastAsia="Calibri" w:hAnsi="Calibri" w:cs="Calibri"/>
          <w:sz w:val="22"/>
          <w:szCs w:val="22"/>
        </w:rPr>
        <w:t xml:space="preserve"> and measure</w:t>
      </w:r>
      <w:r>
        <w:rPr>
          <w:rFonts w:ascii="Calibri" w:eastAsia="Calibri" w:hAnsi="Calibri" w:cs="Calibri"/>
          <w:sz w:val="22"/>
          <w:szCs w:val="22"/>
        </w:rPr>
        <w:t xml:space="preserve"> risk and protective factors, and address underlying determinants of health. Providers can do this by </w:t>
      </w:r>
      <w:r w:rsidR="00330C19">
        <w:rPr>
          <w:rFonts w:ascii="Calibri" w:eastAsia="Calibri" w:hAnsi="Calibri" w:cs="Calibri"/>
          <w:sz w:val="22"/>
          <w:szCs w:val="22"/>
        </w:rPr>
        <w:t>using</w:t>
      </w:r>
      <w:r>
        <w:rPr>
          <w:rFonts w:ascii="Calibri" w:eastAsia="Calibri" w:hAnsi="Calibri" w:cs="Calibri"/>
          <w:sz w:val="22"/>
          <w:szCs w:val="22"/>
        </w:rPr>
        <w:t xml:space="preserve"> a </w:t>
      </w:r>
      <w:r w:rsidR="00330C19">
        <w:rPr>
          <w:rFonts w:ascii="Calibri" w:eastAsia="Calibri" w:hAnsi="Calibri" w:cs="Calibri"/>
          <w:sz w:val="22"/>
          <w:szCs w:val="22"/>
        </w:rPr>
        <w:t>Healing Oriented Practice and Environments (</w:t>
      </w:r>
      <w:r>
        <w:rPr>
          <w:rFonts w:ascii="Calibri" w:eastAsia="Calibri" w:hAnsi="Calibri" w:cs="Calibri"/>
          <w:sz w:val="22"/>
          <w:szCs w:val="22"/>
        </w:rPr>
        <w:t>HOPE</w:t>
      </w:r>
      <w:r w:rsidR="00330C19">
        <w:rPr>
          <w:rFonts w:ascii="Calibri" w:eastAsia="Calibri" w:hAnsi="Calibri" w:cs="Calibri"/>
          <w:sz w:val="22"/>
          <w:szCs w:val="22"/>
        </w:rPr>
        <w:t>) Assessment and HOPE</w:t>
      </w:r>
      <w:r>
        <w:rPr>
          <w:rFonts w:ascii="Calibri" w:eastAsia="Calibri" w:hAnsi="Calibri" w:cs="Calibri"/>
          <w:sz w:val="22"/>
          <w:szCs w:val="22"/>
        </w:rPr>
        <w:t xml:space="preserve"> Note in addition to the SOAP Note that is standard practice</w:t>
      </w:r>
      <w:r w:rsidR="00330C19">
        <w:rPr>
          <w:rFonts w:ascii="Calibri" w:eastAsia="Calibri" w:hAnsi="Calibri" w:cs="Calibri"/>
          <w:sz w:val="22"/>
          <w:szCs w:val="22"/>
        </w:rPr>
        <w:t xml:space="preserve"> in most office visits</w:t>
      </w:r>
      <w:r>
        <w:rPr>
          <w:rFonts w:ascii="Calibri" w:eastAsia="Calibri" w:hAnsi="Calibri" w:cs="Calibri"/>
          <w:sz w:val="22"/>
          <w:szCs w:val="22"/>
        </w:rPr>
        <w:t xml:space="preserve">. </w:t>
      </w:r>
    </w:p>
    <w:p w14:paraId="60AE4231" w14:textId="77777777" w:rsidR="00A116CE" w:rsidRDefault="00A116CE">
      <w:pPr>
        <w:pStyle w:val="BodyA"/>
        <w:rPr>
          <w:rFonts w:ascii="Calibri" w:eastAsia="Calibri" w:hAnsi="Calibri" w:cs="Calibri"/>
          <w:sz w:val="22"/>
          <w:szCs w:val="22"/>
        </w:rPr>
      </w:pPr>
    </w:p>
    <w:p w14:paraId="182E3CBA" w14:textId="646B175A" w:rsidR="00A116CE" w:rsidRDefault="004E7B23">
      <w:pPr>
        <w:pStyle w:val="BodyA"/>
        <w:rPr>
          <w:rFonts w:ascii="Calibri" w:eastAsia="Calibri" w:hAnsi="Calibri" w:cs="Calibri"/>
          <w:sz w:val="22"/>
          <w:szCs w:val="22"/>
        </w:rPr>
      </w:pPr>
      <w:r>
        <w:rPr>
          <w:rFonts w:ascii="Calibri" w:eastAsia="Calibri" w:hAnsi="Calibri" w:cs="Calibri"/>
          <w:sz w:val="22"/>
          <w:szCs w:val="22"/>
        </w:rPr>
        <w:t>The physician begins a</w:t>
      </w:r>
      <w:r>
        <w:rPr>
          <w:rFonts w:ascii="Calibri" w:eastAsia="Calibri" w:hAnsi="Calibri" w:cs="Calibri"/>
          <w:sz w:val="22"/>
          <w:szCs w:val="22"/>
          <w:lang w:val="de-DE"/>
        </w:rPr>
        <w:t xml:space="preserve"> HOPE </w:t>
      </w:r>
      <w:r>
        <w:rPr>
          <w:rFonts w:ascii="Calibri" w:eastAsia="Calibri" w:hAnsi="Calibri" w:cs="Calibri"/>
          <w:sz w:val="22"/>
          <w:szCs w:val="22"/>
        </w:rPr>
        <w:t xml:space="preserve">Visit by asking the patient questions </w:t>
      </w:r>
      <w:r w:rsidR="00330C19">
        <w:rPr>
          <w:rFonts w:ascii="Calibri" w:eastAsia="Calibri" w:hAnsi="Calibri" w:cs="Calibri"/>
          <w:sz w:val="22"/>
          <w:szCs w:val="22"/>
        </w:rPr>
        <w:t xml:space="preserve">about </w:t>
      </w:r>
      <w:r>
        <w:rPr>
          <w:rFonts w:ascii="Calibri" w:eastAsia="Calibri" w:hAnsi="Calibri" w:cs="Calibri"/>
          <w:sz w:val="22"/>
          <w:szCs w:val="22"/>
        </w:rPr>
        <w:t>areas of</w:t>
      </w:r>
      <w:r w:rsidR="00330C19">
        <w:rPr>
          <w:rFonts w:ascii="Calibri" w:eastAsia="Calibri" w:hAnsi="Calibri" w:cs="Calibri"/>
          <w:sz w:val="22"/>
          <w:szCs w:val="22"/>
        </w:rPr>
        <w:t xml:space="preserve"> their</w:t>
      </w:r>
      <w:r>
        <w:rPr>
          <w:rFonts w:ascii="Calibri" w:eastAsia="Calibri" w:hAnsi="Calibri" w:cs="Calibri"/>
          <w:sz w:val="22"/>
          <w:szCs w:val="22"/>
        </w:rPr>
        <w:t xml:space="preserve"> life that impact health and matter to them. This discussion reveals areas of potential</w:t>
      </w:r>
      <w:r>
        <w:rPr>
          <w:rFonts w:ascii="Calibri" w:eastAsia="Calibri" w:hAnsi="Calibri" w:cs="Calibri"/>
          <w:sz w:val="22"/>
          <w:szCs w:val="22"/>
          <w:lang w:val="fr-FR"/>
        </w:rPr>
        <w:t xml:space="preserve"> action</w:t>
      </w:r>
      <w:r>
        <w:rPr>
          <w:rFonts w:ascii="Calibri" w:eastAsia="Calibri" w:hAnsi="Calibri" w:cs="Calibri"/>
          <w:sz w:val="22"/>
          <w:szCs w:val="22"/>
        </w:rPr>
        <w:t>,</w:t>
      </w:r>
      <w:r w:rsidR="00330C19">
        <w:rPr>
          <w:rFonts w:ascii="Calibri" w:eastAsia="Calibri" w:hAnsi="Calibri" w:cs="Calibri"/>
          <w:sz w:val="22"/>
          <w:szCs w:val="22"/>
        </w:rPr>
        <w:t xml:space="preserve"> aligning their life and health goals, </w:t>
      </w:r>
      <w:r>
        <w:rPr>
          <w:rFonts w:ascii="Calibri" w:eastAsia="Calibri" w:hAnsi="Calibri" w:cs="Calibri"/>
          <w:sz w:val="22"/>
          <w:szCs w:val="22"/>
        </w:rPr>
        <w:t xml:space="preserve">so a process for improvement can be mutually agreed upon and </w:t>
      </w:r>
      <w:r w:rsidR="00330C19">
        <w:rPr>
          <w:rFonts w:ascii="Calibri" w:eastAsia="Calibri" w:hAnsi="Calibri" w:cs="Calibri"/>
          <w:sz w:val="22"/>
          <w:szCs w:val="22"/>
        </w:rPr>
        <w:t>facilitated</w:t>
      </w:r>
      <w:r>
        <w:rPr>
          <w:rFonts w:ascii="Calibri" w:eastAsia="Calibri" w:hAnsi="Calibri" w:cs="Calibri"/>
          <w:sz w:val="22"/>
          <w:szCs w:val="22"/>
        </w:rPr>
        <w:t>. Follow-up support can come through a health coach, group visits, health apps, or ongoing informational resources and regular follow-up</w:t>
      </w:r>
      <w:r w:rsidR="00330C19">
        <w:rPr>
          <w:rFonts w:ascii="Calibri" w:eastAsia="Calibri" w:hAnsi="Calibri" w:cs="Calibri"/>
          <w:sz w:val="22"/>
          <w:szCs w:val="22"/>
        </w:rPr>
        <w:t xml:space="preserve"> visits for progress</w:t>
      </w:r>
      <w:r>
        <w:rPr>
          <w:rFonts w:ascii="Calibri" w:eastAsia="Calibri" w:hAnsi="Calibri" w:cs="Calibri"/>
          <w:sz w:val="22"/>
          <w:szCs w:val="22"/>
        </w:rPr>
        <w:t>.</w:t>
      </w:r>
      <w:r w:rsidR="00330C19">
        <w:rPr>
          <w:rFonts w:ascii="Calibri" w:eastAsia="Calibri" w:hAnsi="Calibri" w:cs="Calibri"/>
          <w:sz w:val="22"/>
          <w:szCs w:val="22"/>
        </w:rPr>
        <w:t xml:space="preserve"> A team oriented around the patient’s health and healing that also includes the patient and their family or </w:t>
      </w:r>
      <w:r w:rsidR="001430DD">
        <w:rPr>
          <w:rFonts w:ascii="Calibri" w:eastAsia="Calibri" w:hAnsi="Calibri" w:cs="Calibri"/>
          <w:sz w:val="22"/>
          <w:szCs w:val="22"/>
        </w:rPr>
        <w:t>friends</w:t>
      </w:r>
      <w:r w:rsidR="00330C19">
        <w:rPr>
          <w:rFonts w:ascii="Calibri" w:eastAsia="Calibri" w:hAnsi="Calibri" w:cs="Calibri"/>
          <w:sz w:val="22"/>
          <w:szCs w:val="22"/>
        </w:rPr>
        <w:t xml:space="preserve"> forms the core of a truly person-centered approach. </w:t>
      </w:r>
    </w:p>
    <w:p w14:paraId="40DC66C4" w14:textId="77777777" w:rsidR="00A116CE" w:rsidRDefault="004E7B23">
      <w:pPr>
        <w:pStyle w:val="Heading"/>
      </w:pPr>
      <w:r>
        <w:t xml:space="preserve">Behavior Change Support for Chronic Diseases </w:t>
      </w:r>
    </w:p>
    <w:p w14:paraId="625F33B5" w14:textId="327C4CE2" w:rsidR="00A116CE" w:rsidRDefault="004E7B23">
      <w:pPr>
        <w:pStyle w:val="BodyA"/>
        <w:rPr>
          <w:rFonts w:ascii="Calibri" w:eastAsia="Calibri" w:hAnsi="Calibri" w:cs="Calibri"/>
          <w:sz w:val="22"/>
          <w:szCs w:val="22"/>
        </w:rPr>
      </w:pPr>
      <w:r>
        <w:rPr>
          <w:rFonts w:ascii="Calibri" w:eastAsia="Calibri" w:hAnsi="Calibri" w:cs="Calibri"/>
          <w:sz w:val="22"/>
          <w:szCs w:val="22"/>
        </w:rPr>
        <w:t>More than half of all adults in the United States have at least one chronic condition such as heart disease, diabetes, high blood pressure and</w:t>
      </w:r>
      <w:r w:rsidR="00330C19">
        <w:rPr>
          <w:rFonts w:ascii="Calibri" w:eastAsia="Calibri" w:hAnsi="Calibri" w:cs="Calibri"/>
          <w:sz w:val="22"/>
          <w:szCs w:val="22"/>
        </w:rPr>
        <w:t xml:space="preserve"> chronic pain from conditions such as</w:t>
      </w:r>
      <w:r>
        <w:rPr>
          <w:rFonts w:ascii="Calibri" w:eastAsia="Calibri" w:hAnsi="Calibri" w:cs="Calibri"/>
          <w:sz w:val="22"/>
          <w:szCs w:val="22"/>
        </w:rPr>
        <w:t xml:space="preserve"> arthritis. These conditions are among the most preventable conditions and are manageable with lifestyle changes, </w:t>
      </w:r>
      <w:r>
        <w:rPr>
          <w:rFonts w:ascii="Calibri" w:eastAsia="Calibri" w:hAnsi="Calibri" w:cs="Calibri"/>
          <w:sz w:val="22"/>
          <w:szCs w:val="22"/>
        </w:rPr>
        <w:lastRenderedPageBreak/>
        <w:t>evidence-based self-care and complementary approaches to healing. If health care is to deliver health-and-well-being, it must address these underlying causes of ill-health and learn to better facilitate healing.</w:t>
      </w:r>
    </w:p>
    <w:p w14:paraId="794FA408" w14:textId="77777777" w:rsidR="00A116CE" w:rsidRDefault="00A116CE">
      <w:pPr>
        <w:pStyle w:val="BodyA"/>
        <w:rPr>
          <w:rFonts w:ascii="Calibri" w:eastAsia="Calibri" w:hAnsi="Calibri" w:cs="Calibri"/>
          <w:sz w:val="22"/>
          <w:szCs w:val="22"/>
        </w:rPr>
      </w:pPr>
    </w:p>
    <w:p w14:paraId="7F54BBB7" w14:textId="2FFAD61B" w:rsidR="00A116CE" w:rsidRDefault="00330C19">
      <w:pPr>
        <w:pStyle w:val="BodyA"/>
        <w:rPr>
          <w:rStyle w:val="None"/>
          <w:rFonts w:ascii="Calibri" w:eastAsia="Calibri" w:hAnsi="Calibri" w:cs="Calibri"/>
          <w:sz w:val="22"/>
          <w:szCs w:val="22"/>
        </w:rPr>
      </w:pPr>
      <w:r>
        <w:rPr>
          <w:rFonts w:ascii="Calibri" w:eastAsia="Calibri" w:hAnsi="Calibri" w:cs="Calibri"/>
          <w:sz w:val="22"/>
          <w:szCs w:val="22"/>
        </w:rPr>
        <w:t xml:space="preserve">Support for this behavior change can take many forms, but one of the most effective is health coaching. </w:t>
      </w:r>
      <w:r w:rsidR="004E7B23">
        <w:rPr>
          <w:rFonts w:ascii="Calibri" w:eastAsia="Calibri" w:hAnsi="Calibri" w:cs="Calibri"/>
          <w:sz w:val="22"/>
          <w:szCs w:val="22"/>
        </w:rPr>
        <w:t>Primary care practices can add a health coach (or train an existing staff member), enabling them to continue caring for patients between doctor’</w:t>
      </w:r>
      <w:r w:rsidR="004E7B23">
        <w:rPr>
          <w:rFonts w:ascii="Calibri" w:eastAsia="Calibri" w:hAnsi="Calibri" w:cs="Calibri"/>
          <w:sz w:val="22"/>
          <w:szCs w:val="22"/>
          <w:lang w:val="pt-PT"/>
        </w:rPr>
        <w:t>s visits.</w:t>
      </w:r>
      <w:r w:rsidR="004E7B23">
        <w:rPr>
          <w:rFonts w:ascii="Calibri" w:eastAsia="Calibri" w:hAnsi="Calibri" w:cs="Calibri"/>
          <w:sz w:val="22"/>
          <w:szCs w:val="22"/>
        </w:rPr>
        <w:t> Health coaches support sustainable lifestyle changes through ongoing periodic check-ins either in person or by telehealth. This is especially useful for patients with chronic conditions that can’t be cured with medication or conventional medical treatment. Primary Care Physicians seeking to add this into their practice should access the AMA’s resource:</w:t>
      </w:r>
      <w:r w:rsidR="00295B64">
        <w:rPr>
          <w:rFonts w:ascii="Calibri" w:eastAsia="Calibri" w:hAnsi="Calibri" w:cs="Calibri"/>
          <w:sz w:val="22"/>
          <w:szCs w:val="22"/>
        </w:rPr>
        <w:t xml:space="preserve"> </w:t>
      </w:r>
      <w:hyperlink r:id="rId7" w:history="1">
        <w:r w:rsidR="004E7B23">
          <w:rPr>
            <w:rStyle w:val="Hyperlink0"/>
          </w:rPr>
          <w:t>“Implementing Health Coaching”</w:t>
        </w:r>
      </w:hyperlink>
      <w:r w:rsidR="00295B64">
        <w:rPr>
          <w:rStyle w:val="None"/>
          <w:rFonts w:ascii="Calibri" w:eastAsia="Calibri" w:hAnsi="Calibri" w:cs="Calibri"/>
          <w:sz w:val="22"/>
          <w:szCs w:val="22"/>
        </w:rPr>
        <w:t xml:space="preserve"> </w:t>
      </w:r>
      <w:r w:rsidR="004E7B23">
        <w:rPr>
          <w:rStyle w:val="None"/>
          <w:rFonts w:ascii="Calibri" w:eastAsia="Calibri" w:hAnsi="Calibri" w:cs="Calibri"/>
          <w:sz w:val="22"/>
          <w:szCs w:val="22"/>
        </w:rPr>
        <w:t>from Thomas Bodenheimer, MD, MPH, of the UCSF Center for Excellence in Primary Care.</w:t>
      </w:r>
      <w:r>
        <w:rPr>
          <w:rStyle w:val="None"/>
          <w:rFonts w:ascii="Calibri" w:eastAsia="Calibri" w:hAnsi="Calibri" w:cs="Calibri"/>
          <w:sz w:val="22"/>
          <w:szCs w:val="22"/>
        </w:rPr>
        <w:t xml:space="preserve"> </w:t>
      </w:r>
    </w:p>
    <w:p w14:paraId="70B26293" w14:textId="77777777" w:rsidR="00A116CE" w:rsidRDefault="00A116CE">
      <w:pPr>
        <w:pStyle w:val="BodyA"/>
        <w:rPr>
          <w:rFonts w:ascii="Calibri" w:eastAsia="Calibri" w:hAnsi="Calibri" w:cs="Calibri"/>
          <w:sz w:val="22"/>
          <w:szCs w:val="22"/>
        </w:rPr>
      </w:pPr>
    </w:p>
    <w:p w14:paraId="067C8E6D" w14:textId="5DBD384B" w:rsidR="00A116CE" w:rsidRDefault="004E7B23">
      <w:pPr>
        <w:pStyle w:val="BodyA"/>
        <w:rPr>
          <w:rStyle w:val="None"/>
          <w:rFonts w:ascii="Calibri" w:eastAsia="Calibri" w:hAnsi="Calibri" w:cs="Calibri"/>
          <w:sz w:val="22"/>
          <w:szCs w:val="22"/>
        </w:rPr>
      </w:pPr>
      <w:r>
        <w:rPr>
          <w:rStyle w:val="None"/>
          <w:rFonts w:ascii="Calibri" w:eastAsia="Calibri" w:hAnsi="Calibri" w:cs="Calibri"/>
          <w:sz w:val="22"/>
          <w:szCs w:val="22"/>
        </w:rPr>
        <w:t>Health coaching offered through providers encourages patients to make and sustain healthy changes (self-care) and provides the knowledge and support they need to prevent or reduce the impact of chronic disease. It also allows them to properly integrate that behavior change with medication changes and other treatments</w:t>
      </w:r>
      <w:r w:rsidR="00330C19">
        <w:rPr>
          <w:rStyle w:val="None"/>
          <w:rFonts w:ascii="Calibri" w:eastAsia="Calibri" w:hAnsi="Calibri" w:cs="Calibri"/>
          <w:sz w:val="22"/>
          <w:szCs w:val="22"/>
        </w:rPr>
        <w:t xml:space="preserve"> that must be integrated into this care</w:t>
      </w:r>
      <w:r>
        <w:rPr>
          <w:rStyle w:val="None"/>
          <w:rFonts w:ascii="Calibri" w:eastAsia="Calibri" w:hAnsi="Calibri" w:cs="Calibri"/>
          <w:sz w:val="22"/>
          <w:szCs w:val="22"/>
        </w:rPr>
        <w:t>. Health coaches are key change agents who can help shift the U.S. healthcare system from one that is focused on r</w:t>
      </w:r>
      <w:r w:rsidR="00330C19">
        <w:rPr>
          <w:rStyle w:val="None"/>
          <w:rFonts w:ascii="Calibri" w:eastAsia="Calibri" w:hAnsi="Calibri" w:cs="Calibri"/>
          <w:sz w:val="22"/>
          <w:szCs w:val="22"/>
        </w:rPr>
        <w:t xml:space="preserve">eacting to disease and injury </w:t>
      </w:r>
      <w:r>
        <w:rPr>
          <w:rStyle w:val="None"/>
          <w:rFonts w:ascii="Calibri" w:eastAsia="Calibri" w:hAnsi="Calibri" w:cs="Calibri"/>
          <w:sz w:val="22"/>
          <w:szCs w:val="22"/>
        </w:rPr>
        <w:t xml:space="preserve">to one that also supports prevention and fosters health-and-well-being through self-healing. </w:t>
      </w:r>
    </w:p>
    <w:p w14:paraId="7370AA29" w14:textId="77777777" w:rsidR="00A116CE" w:rsidRDefault="004E7B23">
      <w:pPr>
        <w:pStyle w:val="Heading"/>
      </w:pPr>
      <w:r>
        <w:rPr>
          <w:rStyle w:val="None"/>
        </w:rPr>
        <w:t>RAISING</w:t>
      </w:r>
      <w:r>
        <w:rPr>
          <w:rStyle w:val="None"/>
          <w:lang w:val="de-DE"/>
        </w:rPr>
        <w:t xml:space="preserve"> HOPE MAXIMIZES</w:t>
      </w:r>
      <w:r>
        <w:rPr>
          <w:rStyle w:val="None"/>
        </w:rPr>
        <w:t xml:space="preserve"> PROFITS FOR YOUR PRACTICE</w:t>
      </w:r>
    </w:p>
    <w:p w14:paraId="443CDA6F" w14:textId="77777777" w:rsidR="00A116CE" w:rsidRDefault="00A116CE">
      <w:pPr>
        <w:pStyle w:val="BodyA"/>
        <w:rPr>
          <w:rFonts w:ascii="Calibri" w:eastAsia="Calibri" w:hAnsi="Calibri" w:cs="Calibri"/>
          <w:sz w:val="22"/>
          <w:szCs w:val="22"/>
        </w:rPr>
      </w:pPr>
    </w:p>
    <w:p w14:paraId="6D94B1C2" w14:textId="29C2AF54" w:rsidR="00A116CE" w:rsidRDefault="004E7B23">
      <w:pPr>
        <w:pStyle w:val="BodyA"/>
        <w:rPr>
          <w:rStyle w:val="None"/>
          <w:rFonts w:ascii="Calibri" w:eastAsia="Calibri" w:hAnsi="Calibri" w:cs="Calibri"/>
          <w:sz w:val="22"/>
          <w:szCs w:val="22"/>
        </w:rPr>
      </w:pPr>
      <w:r>
        <w:rPr>
          <w:rStyle w:val="None"/>
          <w:rFonts w:ascii="Calibri" w:eastAsia="Calibri" w:hAnsi="Calibri" w:cs="Calibri"/>
          <w:sz w:val="22"/>
          <w:szCs w:val="22"/>
        </w:rPr>
        <w:t xml:space="preserve">There is financial reward for providers who learn how to raise hope—even under fee-for-service payment. Raise your patients’ hope and your bottom line by hiring health coaches to add health-and-well-being services to your practice. It’s probably easier to sell that than it is to convince them that their disease care expert has become a wellness guru. By having your office business staff bill for these services under the “incident to” rules, this leaves the providers to continue their disease care </w:t>
      </w:r>
      <w:r w:rsidR="001E4BC3">
        <w:rPr>
          <w:rStyle w:val="None"/>
          <w:rFonts w:ascii="Calibri" w:eastAsia="Calibri" w:hAnsi="Calibri" w:cs="Calibri"/>
          <w:sz w:val="22"/>
          <w:szCs w:val="22"/>
        </w:rPr>
        <w:t>services and</w:t>
      </w:r>
      <w:r>
        <w:rPr>
          <w:rStyle w:val="None"/>
          <w:rFonts w:ascii="Calibri" w:eastAsia="Calibri" w:hAnsi="Calibri" w:cs="Calibri"/>
          <w:sz w:val="22"/>
          <w:szCs w:val="22"/>
        </w:rPr>
        <w:t xml:space="preserve"> increases productivity of the whole team. </w:t>
      </w:r>
    </w:p>
    <w:p w14:paraId="7C744CB8" w14:textId="77777777" w:rsidR="00A116CE" w:rsidRDefault="00A116CE">
      <w:pPr>
        <w:pStyle w:val="BodyA"/>
        <w:rPr>
          <w:rFonts w:ascii="Calibri" w:eastAsia="Calibri" w:hAnsi="Calibri" w:cs="Calibri"/>
          <w:sz w:val="22"/>
          <w:szCs w:val="22"/>
        </w:rPr>
      </w:pPr>
    </w:p>
    <w:p w14:paraId="14B028C1" w14:textId="77777777" w:rsidR="00A116CE" w:rsidRDefault="004E7B23">
      <w:pPr>
        <w:pStyle w:val="BodyA"/>
        <w:rPr>
          <w:rStyle w:val="None"/>
          <w:rFonts w:ascii="Calibri" w:eastAsia="Calibri" w:hAnsi="Calibri" w:cs="Calibri"/>
          <w:sz w:val="22"/>
          <w:szCs w:val="22"/>
        </w:rPr>
      </w:pPr>
      <w:r>
        <w:rPr>
          <w:rStyle w:val="None"/>
          <w:rFonts w:ascii="Calibri" w:eastAsia="Calibri" w:hAnsi="Calibri" w:cs="Calibri"/>
          <w:sz w:val="22"/>
          <w:szCs w:val="22"/>
        </w:rPr>
        <w:t xml:space="preserve">For example, a $40/hr nurse, dietician or health educator could bill for you at these 2018 CMS rates: </w:t>
      </w:r>
    </w:p>
    <w:p w14:paraId="45183BF8" w14:textId="77777777" w:rsidR="00A116CE" w:rsidRDefault="00A116CE">
      <w:pPr>
        <w:pStyle w:val="BodyA"/>
        <w:rPr>
          <w:rFonts w:ascii="Calibri" w:eastAsia="Calibri" w:hAnsi="Calibri" w:cs="Calibri"/>
          <w:sz w:val="22"/>
          <w:szCs w:val="22"/>
        </w:rPr>
      </w:pPr>
    </w:p>
    <w:p w14:paraId="4DC17A5A" w14:textId="77777777" w:rsidR="00A116CE" w:rsidRDefault="004E7B23">
      <w:pPr>
        <w:pStyle w:val="BodyA"/>
        <w:ind w:left="655"/>
        <w:rPr>
          <w:rStyle w:val="None"/>
          <w:rFonts w:ascii="Calibri" w:eastAsia="Calibri" w:hAnsi="Calibri" w:cs="Calibri"/>
          <w:b/>
          <w:bCs/>
          <w:sz w:val="22"/>
          <w:szCs w:val="22"/>
        </w:rPr>
      </w:pPr>
      <w:r>
        <w:rPr>
          <w:rStyle w:val="None"/>
          <w:rFonts w:ascii="Calibri" w:eastAsia="Calibri" w:hAnsi="Calibri" w:cs="Calibri"/>
          <w:b/>
          <w:bCs/>
          <w:sz w:val="22"/>
          <w:szCs w:val="22"/>
        </w:rPr>
        <w:t>Health-and-W</w:t>
      </w:r>
      <w:r>
        <w:rPr>
          <w:rStyle w:val="None"/>
          <w:rFonts w:ascii="Calibri" w:eastAsia="Calibri" w:hAnsi="Calibri" w:cs="Calibri"/>
          <w:b/>
          <w:bCs/>
          <w:sz w:val="22"/>
          <w:szCs w:val="22"/>
          <w:lang w:val="it-IT"/>
        </w:rPr>
        <w:t>ell</w:t>
      </w:r>
      <w:r>
        <w:rPr>
          <w:rStyle w:val="None"/>
          <w:rFonts w:ascii="Calibri" w:eastAsia="Calibri" w:hAnsi="Calibri" w:cs="Calibri"/>
          <w:b/>
          <w:bCs/>
          <w:sz w:val="22"/>
          <w:szCs w:val="22"/>
        </w:rPr>
        <w:t>-Being Services</w:t>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t xml:space="preserve">    Limiting Charge</w:t>
      </w:r>
    </w:p>
    <w:p w14:paraId="127F9FB2" w14:textId="77777777" w:rsidR="00A116CE" w:rsidRDefault="004E7B23">
      <w:pPr>
        <w:pStyle w:val="BodyA"/>
        <w:ind w:left="655"/>
        <w:rPr>
          <w:rStyle w:val="None"/>
          <w:rFonts w:ascii="Calibri" w:eastAsia="Calibri" w:hAnsi="Calibri" w:cs="Calibri"/>
          <w:sz w:val="22"/>
          <w:szCs w:val="22"/>
        </w:rPr>
      </w:pPr>
      <w:r>
        <w:rPr>
          <w:rStyle w:val="None"/>
          <w:rFonts w:ascii="Calibri" w:eastAsia="Calibri" w:hAnsi="Calibri" w:cs="Calibri"/>
          <w:sz w:val="22"/>
          <w:szCs w:val="22"/>
        </w:rPr>
        <w:t>G0438 – Personalized Prevention Plan, initial</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$192</w:t>
      </w:r>
    </w:p>
    <w:p w14:paraId="451E30B4" w14:textId="77777777" w:rsidR="00A116CE" w:rsidRDefault="004E7B23">
      <w:pPr>
        <w:pStyle w:val="BodyA"/>
        <w:ind w:left="655"/>
        <w:rPr>
          <w:rStyle w:val="None"/>
          <w:rFonts w:ascii="Calibri" w:eastAsia="Calibri" w:hAnsi="Calibri" w:cs="Calibri"/>
          <w:sz w:val="22"/>
          <w:szCs w:val="22"/>
        </w:rPr>
      </w:pPr>
      <w:r>
        <w:rPr>
          <w:rStyle w:val="None"/>
          <w:rFonts w:ascii="Calibri" w:eastAsia="Calibri" w:hAnsi="Calibri" w:cs="Calibri"/>
          <w:sz w:val="22"/>
          <w:szCs w:val="22"/>
        </w:rPr>
        <w:t>G0439 – Personalized Prevention Plan, subsequent</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$130</w:t>
      </w:r>
    </w:p>
    <w:p w14:paraId="323F3658" w14:textId="77777777" w:rsidR="00A116CE" w:rsidRDefault="004E7B23">
      <w:pPr>
        <w:pStyle w:val="BodyA"/>
        <w:ind w:left="655"/>
        <w:rPr>
          <w:rStyle w:val="None"/>
          <w:rFonts w:ascii="Calibri" w:eastAsia="Calibri" w:hAnsi="Calibri" w:cs="Calibri"/>
          <w:sz w:val="22"/>
          <w:szCs w:val="22"/>
        </w:rPr>
      </w:pPr>
      <w:r>
        <w:rPr>
          <w:rStyle w:val="None"/>
          <w:rFonts w:ascii="Calibri" w:eastAsia="Calibri" w:hAnsi="Calibri" w:cs="Calibri"/>
          <w:sz w:val="22"/>
          <w:szCs w:val="22"/>
        </w:rPr>
        <w:t>99490 – Chronic care management, 20 min/month, telephonic</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47</w:t>
      </w:r>
    </w:p>
    <w:p w14:paraId="3E14965A" w14:textId="77777777" w:rsidR="00A116CE" w:rsidRDefault="004E7B23">
      <w:pPr>
        <w:pStyle w:val="BodyA"/>
        <w:ind w:left="655"/>
        <w:rPr>
          <w:rStyle w:val="None"/>
          <w:rFonts w:ascii="Calibri" w:eastAsia="Calibri" w:hAnsi="Calibri" w:cs="Calibri"/>
          <w:sz w:val="22"/>
          <w:szCs w:val="22"/>
        </w:rPr>
      </w:pPr>
      <w:r>
        <w:rPr>
          <w:rStyle w:val="None"/>
          <w:rFonts w:ascii="Calibri" w:eastAsia="Calibri" w:hAnsi="Calibri" w:cs="Calibri"/>
          <w:sz w:val="22"/>
          <w:szCs w:val="22"/>
        </w:rPr>
        <w:t>G0444 – Depression screen, annual</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20</w:t>
      </w:r>
    </w:p>
    <w:p w14:paraId="36D8C001" w14:textId="77777777" w:rsidR="00A116CE" w:rsidRDefault="004E7B23">
      <w:pPr>
        <w:pStyle w:val="BodyA"/>
        <w:ind w:left="655"/>
        <w:rPr>
          <w:rStyle w:val="None"/>
          <w:rFonts w:ascii="Calibri" w:eastAsia="Calibri" w:hAnsi="Calibri" w:cs="Calibri"/>
          <w:sz w:val="22"/>
          <w:szCs w:val="22"/>
        </w:rPr>
      </w:pPr>
      <w:r>
        <w:rPr>
          <w:rStyle w:val="None"/>
          <w:rFonts w:ascii="Calibri" w:eastAsia="Calibri" w:hAnsi="Calibri" w:cs="Calibri"/>
          <w:sz w:val="22"/>
          <w:szCs w:val="22"/>
        </w:rPr>
        <w:t xml:space="preserve">G0442 – Alcohol screen, annual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20</w:t>
      </w:r>
    </w:p>
    <w:p w14:paraId="344AC0E1" w14:textId="77777777" w:rsidR="00A116CE" w:rsidRDefault="00A116CE">
      <w:pPr>
        <w:pStyle w:val="BodyA"/>
        <w:rPr>
          <w:rFonts w:ascii="Calibri" w:eastAsia="Calibri" w:hAnsi="Calibri" w:cs="Calibri"/>
        </w:rPr>
      </w:pPr>
    </w:p>
    <w:p w14:paraId="32D63B66" w14:textId="11BFBD6A" w:rsidR="00A116CE" w:rsidRDefault="004E7B23">
      <w:pPr>
        <w:pStyle w:val="BodyA"/>
        <w:rPr>
          <w:rStyle w:val="None"/>
          <w:rFonts w:ascii="Calibri" w:eastAsia="Calibri" w:hAnsi="Calibri" w:cs="Calibri"/>
          <w:sz w:val="22"/>
          <w:szCs w:val="22"/>
        </w:rPr>
      </w:pPr>
      <w:r>
        <w:rPr>
          <w:rStyle w:val="None"/>
          <w:rFonts w:ascii="Calibri" w:eastAsia="Calibri" w:hAnsi="Calibri" w:cs="Calibri"/>
          <w:sz w:val="22"/>
          <w:szCs w:val="22"/>
        </w:rPr>
        <w:t xml:space="preserve">These are just a start. </w:t>
      </w:r>
      <w:r w:rsidR="00B62F13">
        <w:rPr>
          <w:rStyle w:val="None"/>
          <w:rFonts w:ascii="Calibri" w:eastAsia="Calibri" w:hAnsi="Calibri" w:cs="Calibri"/>
          <w:sz w:val="22"/>
          <w:szCs w:val="22"/>
        </w:rPr>
        <w:t xml:space="preserve">An integrative health visit and HOPE Note often identifies other conditions, service needs and codes that can be incorporated into a practice. And it can be profitable for a practice. </w:t>
      </w:r>
      <w:r>
        <w:rPr>
          <w:rStyle w:val="None"/>
          <w:rFonts w:ascii="Calibri" w:eastAsia="Calibri" w:hAnsi="Calibri" w:cs="Calibri"/>
          <w:sz w:val="22"/>
          <w:szCs w:val="22"/>
        </w:rPr>
        <w:t xml:space="preserve">A health-and-well-being coach doing HOPE visits for ½ of a 2500 patient panel could generate nearly $200,000 a year revenue for &lt;$100,000 in payroll. What other primary care services provide that kind of margin? </w:t>
      </w:r>
      <w:r w:rsidR="001E4BC3">
        <w:rPr>
          <w:rStyle w:val="None"/>
          <w:rFonts w:ascii="Calibri" w:eastAsia="Calibri" w:hAnsi="Calibri" w:cs="Calibri"/>
          <w:sz w:val="22"/>
          <w:szCs w:val="22"/>
        </w:rPr>
        <w:t>Thes</w:t>
      </w:r>
      <w:r w:rsidR="007C1E98">
        <w:rPr>
          <w:rStyle w:val="None"/>
          <w:rFonts w:ascii="Calibri" w:eastAsia="Calibri" w:hAnsi="Calibri" w:cs="Calibri"/>
          <w:sz w:val="22"/>
          <w:szCs w:val="22"/>
        </w:rPr>
        <w:t xml:space="preserve">e estimates come from Geoffrey Moore, M.D. of </w:t>
      </w:r>
      <w:hyperlink r:id="rId8" w:history="1">
        <w:r w:rsidR="001A0231" w:rsidRPr="001A0231">
          <w:rPr>
            <w:rStyle w:val="Hyperlink0"/>
          </w:rPr>
          <w:t>Sustainable Health Systems</w:t>
        </w:r>
      </w:hyperlink>
      <w:r w:rsidR="00B62F13">
        <w:rPr>
          <w:rStyle w:val="None"/>
          <w:rFonts w:ascii="Calibri" w:eastAsia="Calibri" w:hAnsi="Calibri" w:cs="Calibri"/>
          <w:sz w:val="22"/>
          <w:szCs w:val="22"/>
        </w:rPr>
        <w:t xml:space="preserve"> and Margaret Moore, CEO of </w:t>
      </w:r>
      <w:hyperlink r:id="rId9" w:history="1">
        <w:r w:rsidR="00B62F13" w:rsidRPr="001A0231">
          <w:rPr>
            <w:rStyle w:val="Hyperlink0"/>
          </w:rPr>
          <w:t>Wellcoaches</w:t>
        </w:r>
      </w:hyperlink>
      <w:r w:rsidR="00B62F13">
        <w:rPr>
          <w:rStyle w:val="None"/>
          <w:rFonts w:ascii="Calibri" w:eastAsia="Calibri" w:hAnsi="Calibri" w:cs="Calibri"/>
          <w:sz w:val="22"/>
          <w:szCs w:val="22"/>
        </w:rPr>
        <w:t xml:space="preserve">, a leading health coach training and certification program. </w:t>
      </w:r>
    </w:p>
    <w:p w14:paraId="5FB192B7" w14:textId="77777777" w:rsidR="00A116CE" w:rsidRDefault="00A116CE">
      <w:pPr>
        <w:pStyle w:val="BodyA"/>
        <w:rPr>
          <w:rFonts w:ascii="Calibri" w:eastAsia="Calibri" w:hAnsi="Calibri" w:cs="Calibri"/>
          <w:sz w:val="22"/>
          <w:szCs w:val="22"/>
        </w:rPr>
      </w:pPr>
    </w:p>
    <w:p w14:paraId="3A566E71" w14:textId="77777777" w:rsidR="00A116CE" w:rsidRDefault="004E7B23">
      <w:pPr>
        <w:pStyle w:val="BodyA"/>
        <w:rPr>
          <w:rStyle w:val="None"/>
          <w:rFonts w:ascii="Calibri" w:eastAsia="Calibri" w:hAnsi="Calibri" w:cs="Calibri"/>
          <w:sz w:val="22"/>
          <w:szCs w:val="22"/>
        </w:rPr>
      </w:pPr>
      <w:r>
        <w:rPr>
          <w:rStyle w:val="None"/>
          <w:rFonts w:ascii="Calibri" w:eastAsia="Calibri" w:hAnsi="Calibri" w:cs="Calibri"/>
          <w:sz w:val="22"/>
          <w:szCs w:val="22"/>
        </w:rPr>
        <w:t xml:space="preserve">One can leverage a health-and-well-being coach or coaches into a team providing a full line of health-and-well-being services focusing on the social and emotional factors, personal behaviors, mental and spiritual factors, and the patient’s environment—all factors that impact your patient’s health. The most </w:t>
      </w:r>
      <w:r>
        <w:rPr>
          <w:rStyle w:val="None"/>
          <w:rFonts w:ascii="Calibri" w:eastAsia="Calibri" w:hAnsi="Calibri" w:cs="Calibri"/>
          <w:sz w:val="22"/>
          <w:szCs w:val="22"/>
        </w:rPr>
        <w:lastRenderedPageBreak/>
        <w:t xml:space="preserve">productive way to provide such visits is to do them in small groups of 4-10 participants. With full groups, the hourly revenue is impressive for allied health care workers.  </w:t>
      </w:r>
    </w:p>
    <w:p w14:paraId="20D7B779" w14:textId="77777777" w:rsidR="00A116CE" w:rsidRDefault="00A116CE">
      <w:pPr>
        <w:pStyle w:val="Body"/>
        <w:rPr>
          <w:rStyle w:val="None"/>
          <w:rFonts w:ascii="Calibri" w:eastAsia="Calibri" w:hAnsi="Calibri" w:cs="Calibri"/>
          <w:sz w:val="20"/>
          <w:szCs w:val="20"/>
        </w:rPr>
      </w:pPr>
    </w:p>
    <w:p w14:paraId="0EA66F4E" w14:textId="77777777" w:rsidR="00A116CE" w:rsidRDefault="004E7B23">
      <w:pPr>
        <w:pStyle w:val="Body"/>
        <w:ind w:left="655"/>
        <w:rPr>
          <w:rStyle w:val="None"/>
          <w:rFonts w:ascii="Calibri" w:eastAsia="Calibri" w:hAnsi="Calibri" w:cs="Calibri"/>
          <w:sz w:val="22"/>
          <w:szCs w:val="22"/>
        </w:rPr>
      </w:pPr>
      <w:r>
        <w:rPr>
          <w:rStyle w:val="None"/>
          <w:rFonts w:ascii="Calibri" w:eastAsia="Calibri" w:hAnsi="Calibri" w:cs="Calibri"/>
          <w:sz w:val="22"/>
          <w:szCs w:val="22"/>
        </w:rPr>
        <w:t>G0473 – Behavioral counseling, obesity, group of 2-10, 30 min</w:t>
      </w:r>
      <w:r>
        <w:rPr>
          <w:rStyle w:val="None"/>
          <w:rFonts w:ascii="Calibri" w:eastAsia="Calibri" w:hAnsi="Calibri" w:cs="Calibri"/>
          <w:sz w:val="22"/>
          <w:szCs w:val="22"/>
        </w:rPr>
        <w:tab/>
      </w:r>
      <w:r>
        <w:rPr>
          <w:rStyle w:val="None"/>
          <w:rFonts w:ascii="Calibri" w:eastAsia="Calibri" w:hAnsi="Calibri" w:cs="Calibri"/>
          <w:sz w:val="22"/>
          <w:szCs w:val="22"/>
        </w:rPr>
        <w:tab/>
        <w:t>$14 ea. x 10 = $280/hr</w:t>
      </w:r>
    </w:p>
    <w:p w14:paraId="2208CEB7" w14:textId="77777777" w:rsidR="00A116CE" w:rsidRDefault="004E7B23">
      <w:pPr>
        <w:pStyle w:val="Body"/>
        <w:ind w:left="655"/>
        <w:rPr>
          <w:rStyle w:val="None"/>
          <w:rFonts w:ascii="Calibri" w:eastAsia="Calibri" w:hAnsi="Calibri" w:cs="Calibri"/>
          <w:sz w:val="22"/>
          <w:szCs w:val="22"/>
        </w:rPr>
      </w:pPr>
      <w:r>
        <w:rPr>
          <w:rStyle w:val="None"/>
          <w:rFonts w:ascii="Calibri" w:eastAsia="Calibri" w:hAnsi="Calibri" w:cs="Calibri"/>
          <w:sz w:val="22"/>
          <w:szCs w:val="22"/>
        </w:rPr>
        <w:t>G0446 – Intense behavioral therapy, cardiovascular diagnosis, 30 min</w:t>
      </w:r>
      <w:r>
        <w:rPr>
          <w:rStyle w:val="None"/>
          <w:rFonts w:ascii="Calibri" w:eastAsia="Calibri" w:hAnsi="Calibri" w:cs="Calibri"/>
          <w:sz w:val="22"/>
          <w:szCs w:val="22"/>
        </w:rPr>
        <w:tab/>
        <w:t>$29 ea. x 10 = $580/hr</w:t>
      </w:r>
    </w:p>
    <w:p w14:paraId="46EF11FB" w14:textId="77777777" w:rsidR="00A116CE" w:rsidRDefault="004E7B23">
      <w:pPr>
        <w:pStyle w:val="BodyA"/>
        <w:ind w:left="655"/>
        <w:rPr>
          <w:rStyle w:val="None"/>
          <w:rFonts w:ascii="Calibri" w:eastAsia="Calibri" w:hAnsi="Calibri" w:cs="Calibri"/>
          <w:sz w:val="22"/>
          <w:szCs w:val="22"/>
        </w:rPr>
      </w:pPr>
      <w:r>
        <w:rPr>
          <w:rStyle w:val="None"/>
          <w:rFonts w:ascii="Calibri" w:eastAsia="Calibri" w:hAnsi="Calibri" w:cs="Calibri"/>
          <w:sz w:val="22"/>
          <w:szCs w:val="22"/>
        </w:rPr>
        <w:t>G0109 – Diabetes self-management training, group, 60 min</w:t>
      </w:r>
      <w:r>
        <w:rPr>
          <w:rStyle w:val="None"/>
          <w:rFonts w:ascii="Calibri" w:eastAsia="Calibri" w:hAnsi="Calibri" w:cs="Calibri"/>
          <w:sz w:val="22"/>
          <w:szCs w:val="22"/>
        </w:rPr>
        <w:tab/>
      </w:r>
      <w:r>
        <w:rPr>
          <w:rStyle w:val="None"/>
          <w:rFonts w:ascii="Calibri" w:eastAsia="Calibri" w:hAnsi="Calibri" w:cs="Calibri"/>
          <w:sz w:val="22"/>
          <w:szCs w:val="22"/>
        </w:rPr>
        <w:tab/>
        <w:t>$16 ea. x 10 = $160/hr</w:t>
      </w:r>
    </w:p>
    <w:p w14:paraId="5C91994E" w14:textId="77777777" w:rsidR="00A116CE" w:rsidRDefault="00A116CE">
      <w:pPr>
        <w:pStyle w:val="BodyA"/>
        <w:ind w:left="655"/>
        <w:rPr>
          <w:rFonts w:ascii="Calibri" w:eastAsia="Calibri" w:hAnsi="Calibri" w:cs="Calibri"/>
        </w:rPr>
      </w:pPr>
    </w:p>
    <w:p w14:paraId="58B33E58" w14:textId="0F3D628D" w:rsidR="00A116CE" w:rsidRDefault="004E7B23">
      <w:pPr>
        <w:pStyle w:val="BodyA"/>
        <w:rPr>
          <w:rStyle w:val="None"/>
          <w:rFonts w:ascii="Calibri" w:eastAsia="Calibri" w:hAnsi="Calibri" w:cs="Calibri"/>
          <w:sz w:val="22"/>
          <w:szCs w:val="22"/>
        </w:rPr>
      </w:pPr>
      <w:r>
        <w:rPr>
          <w:rStyle w:val="None"/>
          <w:rFonts w:ascii="Calibri" w:eastAsia="Calibri" w:hAnsi="Calibri" w:cs="Calibri"/>
          <w:sz w:val="22"/>
          <w:szCs w:val="22"/>
        </w:rPr>
        <w:t>Of course, providers can get in the action, using traditional outpa</w:t>
      </w:r>
      <w:r w:rsidR="00200E99">
        <w:rPr>
          <w:rStyle w:val="None"/>
          <w:rFonts w:ascii="Calibri" w:eastAsia="Calibri" w:hAnsi="Calibri" w:cs="Calibri"/>
          <w:sz w:val="22"/>
          <w:szCs w:val="22"/>
        </w:rPr>
        <w:t xml:space="preserve">tient evaluation and management, which </w:t>
      </w:r>
      <w:r>
        <w:rPr>
          <w:rStyle w:val="None"/>
          <w:rFonts w:ascii="Calibri" w:eastAsia="Calibri" w:hAnsi="Calibri" w:cs="Calibri"/>
          <w:sz w:val="22"/>
          <w:szCs w:val="22"/>
        </w:rPr>
        <w:t xml:space="preserve">can also be billed (as counseling &amp; coordination of care)! Group visits are particularly rewarding to lead. Briefly see each patient and document the visit in the chart. </w:t>
      </w:r>
      <w:r w:rsidR="00200E99">
        <w:rPr>
          <w:rStyle w:val="None"/>
          <w:rFonts w:ascii="Calibri" w:eastAsia="Calibri" w:hAnsi="Calibri" w:cs="Calibri"/>
          <w:sz w:val="22"/>
          <w:szCs w:val="22"/>
        </w:rPr>
        <w:t xml:space="preserve">EHR templates can streamline this process. </w:t>
      </w:r>
      <w:r>
        <w:rPr>
          <w:rStyle w:val="None"/>
          <w:rFonts w:ascii="Calibri" w:eastAsia="Calibri" w:hAnsi="Calibri" w:cs="Calibri"/>
          <w:sz w:val="22"/>
          <w:szCs w:val="22"/>
        </w:rPr>
        <w:br/>
      </w:r>
    </w:p>
    <w:p w14:paraId="6F6B9D38" w14:textId="77777777" w:rsidR="00A116CE" w:rsidRDefault="004E7B23">
      <w:pPr>
        <w:pStyle w:val="BodyA"/>
        <w:ind w:left="655"/>
        <w:rPr>
          <w:rStyle w:val="None"/>
          <w:rFonts w:ascii="Calibri" w:eastAsia="Calibri" w:hAnsi="Calibri" w:cs="Calibri"/>
          <w:sz w:val="22"/>
          <w:szCs w:val="22"/>
        </w:rPr>
      </w:pPr>
      <w:r>
        <w:rPr>
          <w:rStyle w:val="None"/>
          <w:rFonts w:ascii="Calibri" w:eastAsia="Calibri" w:hAnsi="Calibri" w:cs="Calibri"/>
          <w:sz w:val="22"/>
          <w:szCs w:val="22"/>
        </w:rPr>
        <w:t>99211 – Weigh-ins, vital sign checks by a nurse</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$24</w:t>
      </w:r>
      <w:r>
        <w:rPr>
          <w:rStyle w:val="None"/>
          <w:rFonts w:ascii="Calibri" w:eastAsia="Calibri" w:hAnsi="Calibri" w:cs="Calibri"/>
          <w:sz w:val="22"/>
          <w:szCs w:val="22"/>
        </w:rPr>
        <w:br/>
        <w:t>99213/99214 – Can do in</w:t>
      </w:r>
      <w:r>
        <w:rPr>
          <w:rStyle w:val="None"/>
          <w:rFonts w:ascii="Calibri" w:eastAsia="Calibri" w:hAnsi="Calibri" w:cs="Calibri"/>
          <w:sz w:val="22"/>
          <w:szCs w:val="22"/>
          <w:lang w:val="fr-FR"/>
        </w:rPr>
        <w:t xml:space="preserve"> group</w:t>
      </w:r>
      <w:r>
        <w:rPr>
          <w:rStyle w:val="None"/>
          <w:rFonts w:ascii="Calibri" w:eastAsia="Calibri" w:hAnsi="Calibri" w:cs="Calibri"/>
          <w:sz w:val="22"/>
          <w:szCs w:val="22"/>
        </w:rPr>
        <w:t>s led by provider and health coach</w:t>
      </w:r>
      <w:r>
        <w:rPr>
          <w:rStyle w:val="None"/>
          <w:rFonts w:ascii="Calibri" w:eastAsia="Calibri" w:hAnsi="Calibri" w:cs="Calibri"/>
          <w:sz w:val="22"/>
          <w:szCs w:val="22"/>
        </w:rPr>
        <w:tab/>
      </w:r>
      <w:r>
        <w:rPr>
          <w:rStyle w:val="None"/>
          <w:rFonts w:ascii="Calibri" w:eastAsia="Calibri" w:hAnsi="Calibri" w:cs="Calibri"/>
          <w:sz w:val="22"/>
          <w:szCs w:val="22"/>
        </w:rPr>
        <w:tab/>
        <w:t>$81/$120</w:t>
      </w:r>
    </w:p>
    <w:p w14:paraId="0E7B52BA" w14:textId="77777777" w:rsidR="00A116CE" w:rsidRDefault="00A116CE">
      <w:pPr>
        <w:pStyle w:val="BodyA"/>
        <w:ind w:left="655"/>
        <w:rPr>
          <w:rFonts w:ascii="Calibri" w:eastAsia="Calibri" w:hAnsi="Calibri" w:cs="Calibri"/>
          <w:sz w:val="22"/>
          <w:szCs w:val="22"/>
        </w:rPr>
      </w:pPr>
    </w:p>
    <w:p w14:paraId="2C2153E8" w14:textId="0FFB6443" w:rsidR="00A116CE" w:rsidRDefault="004E7B23">
      <w:pPr>
        <w:pStyle w:val="BodyA"/>
        <w:rPr>
          <w:rStyle w:val="None"/>
          <w:rFonts w:ascii="Calibri" w:eastAsia="Calibri" w:hAnsi="Calibri" w:cs="Calibri"/>
          <w:sz w:val="22"/>
          <w:szCs w:val="22"/>
        </w:rPr>
      </w:pPr>
      <w:r>
        <w:rPr>
          <w:rStyle w:val="None"/>
          <w:rFonts w:ascii="Calibri" w:eastAsia="Calibri" w:hAnsi="Calibri" w:cs="Calibri"/>
          <w:sz w:val="22"/>
          <w:szCs w:val="22"/>
        </w:rPr>
        <w:t>In geriatric patients and persons with chronic disease or disability, it is important to evaluate physical functioning as a key aspect of quality-of-life. Such evaluations need to be done by a provider, but they’re central to showing patients that you’re serious about he</w:t>
      </w:r>
      <w:r w:rsidR="00200E99">
        <w:rPr>
          <w:rStyle w:val="None"/>
          <w:rFonts w:ascii="Calibri" w:eastAsia="Calibri" w:hAnsi="Calibri" w:cs="Calibri"/>
          <w:sz w:val="22"/>
          <w:szCs w:val="22"/>
        </w:rPr>
        <w:t>alth-and-well-being services. In</w:t>
      </w:r>
      <w:r>
        <w:rPr>
          <w:rStyle w:val="None"/>
          <w:rFonts w:ascii="Calibri" w:eastAsia="Calibri" w:hAnsi="Calibri" w:cs="Calibri"/>
          <w:sz w:val="22"/>
          <w:szCs w:val="22"/>
        </w:rPr>
        <w:t xml:space="preserve"> fact, several additional services show that your practice really cares about health-and-well-being.</w:t>
      </w:r>
    </w:p>
    <w:p w14:paraId="159CB6D0" w14:textId="77777777" w:rsidR="00A116CE" w:rsidRDefault="00A116CE">
      <w:pPr>
        <w:pStyle w:val="BodyA"/>
        <w:rPr>
          <w:rFonts w:ascii="Calibri" w:eastAsia="Calibri" w:hAnsi="Calibri" w:cs="Calibri"/>
          <w:sz w:val="22"/>
          <w:szCs w:val="22"/>
        </w:rPr>
      </w:pPr>
    </w:p>
    <w:p w14:paraId="381E00A3" w14:textId="77777777" w:rsidR="00A116CE" w:rsidRDefault="004E7B23">
      <w:pPr>
        <w:pStyle w:val="BodyA"/>
        <w:ind w:left="655"/>
        <w:rPr>
          <w:rStyle w:val="None"/>
          <w:rFonts w:ascii="Calibri" w:eastAsia="Calibri" w:hAnsi="Calibri" w:cs="Calibri"/>
          <w:sz w:val="22"/>
          <w:szCs w:val="22"/>
        </w:rPr>
      </w:pPr>
      <w:r>
        <w:rPr>
          <w:rStyle w:val="None"/>
          <w:rFonts w:ascii="Calibri" w:eastAsia="Calibri" w:hAnsi="Calibri" w:cs="Calibri"/>
          <w:sz w:val="22"/>
          <w:szCs w:val="22"/>
        </w:rPr>
        <w:t>97750 – Physical performance test, with report, each 15 minutes</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$42</w:t>
      </w:r>
    </w:p>
    <w:p w14:paraId="720B3418" w14:textId="77777777" w:rsidR="00A116CE" w:rsidRDefault="004E7B23">
      <w:pPr>
        <w:pStyle w:val="Body"/>
        <w:ind w:left="655"/>
        <w:rPr>
          <w:rStyle w:val="None"/>
          <w:rFonts w:ascii="Calibri" w:eastAsia="Calibri" w:hAnsi="Calibri" w:cs="Calibri"/>
          <w:sz w:val="22"/>
          <w:szCs w:val="22"/>
        </w:rPr>
      </w:pPr>
      <w:r>
        <w:rPr>
          <w:rStyle w:val="None"/>
          <w:rFonts w:ascii="Calibri" w:eastAsia="Calibri" w:hAnsi="Calibri" w:cs="Calibri"/>
          <w:sz w:val="22"/>
          <w:szCs w:val="22"/>
        </w:rPr>
        <w:t xml:space="preserve">99406 – </w:t>
      </w:r>
      <w:r>
        <w:rPr>
          <w:rStyle w:val="None"/>
          <w:rFonts w:ascii="Calibri" w:eastAsia="Calibri" w:hAnsi="Calibri" w:cs="Calibri"/>
          <w:sz w:val="22"/>
          <w:szCs w:val="22"/>
          <w:lang w:val="da-DK"/>
        </w:rPr>
        <w:t>Behav</w:t>
      </w:r>
      <w:r>
        <w:rPr>
          <w:rStyle w:val="None"/>
          <w:rFonts w:ascii="Calibri" w:eastAsia="Calibri" w:hAnsi="Calibri" w:cs="Calibri"/>
          <w:sz w:val="22"/>
          <w:szCs w:val="22"/>
          <w:lang w:val="it-IT"/>
        </w:rPr>
        <w:t>ior ch</w:t>
      </w:r>
      <w:r>
        <w:rPr>
          <w:rStyle w:val="None"/>
          <w:rFonts w:ascii="Calibri" w:eastAsia="Calibri" w:hAnsi="Calibri" w:cs="Calibri"/>
          <w:sz w:val="22"/>
          <w:szCs w:val="22"/>
        </w:rPr>
        <w:t>ange smoking, 3-10 min</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$16</w:t>
      </w:r>
    </w:p>
    <w:p w14:paraId="32DA767A" w14:textId="77777777" w:rsidR="00A116CE" w:rsidRDefault="004E7B23">
      <w:pPr>
        <w:pStyle w:val="Body"/>
        <w:ind w:left="655"/>
        <w:rPr>
          <w:rStyle w:val="None"/>
          <w:rFonts w:ascii="Calibri" w:eastAsia="Calibri" w:hAnsi="Calibri" w:cs="Calibri"/>
          <w:sz w:val="22"/>
          <w:szCs w:val="22"/>
        </w:rPr>
      </w:pPr>
      <w:r>
        <w:rPr>
          <w:rStyle w:val="None"/>
          <w:rFonts w:ascii="Calibri" w:eastAsia="Calibri" w:hAnsi="Calibri" w:cs="Calibri"/>
          <w:sz w:val="22"/>
          <w:szCs w:val="22"/>
        </w:rPr>
        <w:t>99407 – Behavior change smoking, &gt;10 min</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$31</w:t>
      </w:r>
    </w:p>
    <w:p w14:paraId="0200069B" w14:textId="77777777" w:rsidR="00A116CE" w:rsidRDefault="004E7B23">
      <w:pPr>
        <w:pStyle w:val="BodyA"/>
        <w:ind w:left="655"/>
        <w:rPr>
          <w:rStyle w:val="None"/>
          <w:rFonts w:ascii="Calibri" w:eastAsia="Calibri" w:hAnsi="Calibri" w:cs="Calibri"/>
          <w:sz w:val="22"/>
          <w:szCs w:val="22"/>
        </w:rPr>
      </w:pPr>
      <w:r>
        <w:rPr>
          <w:rStyle w:val="None"/>
          <w:rFonts w:ascii="Calibri" w:eastAsia="Calibri" w:hAnsi="Calibri" w:cs="Calibri"/>
          <w:sz w:val="22"/>
          <w:szCs w:val="22"/>
        </w:rPr>
        <w:t>G0443 – Brief alcohol misuse counseling</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$29</w:t>
      </w:r>
    </w:p>
    <w:p w14:paraId="560A2B71" w14:textId="77777777" w:rsidR="00A116CE" w:rsidRDefault="004E7B23">
      <w:pPr>
        <w:pStyle w:val="BodyA"/>
        <w:ind w:left="655"/>
        <w:rPr>
          <w:rStyle w:val="None"/>
          <w:rFonts w:ascii="Calibri" w:eastAsia="Calibri" w:hAnsi="Calibri" w:cs="Calibri"/>
          <w:sz w:val="22"/>
          <w:szCs w:val="22"/>
        </w:rPr>
      </w:pPr>
      <w:r>
        <w:rPr>
          <w:rStyle w:val="None"/>
          <w:rFonts w:ascii="Calibri" w:eastAsia="Calibri" w:hAnsi="Calibri" w:cs="Calibri"/>
          <w:sz w:val="22"/>
          <w:szCs w:val="22"/>
        </w:rPr>
        <w:t>G0396 – Alcohol / substance use intervention, 15-30 min</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$40</w:t>
      </w:r>
    </w:p>
    <w:p w14:paraId="09BB4CD8" w14:textId="6CA841FA" w:rsidR="00A116CE" w:rsidRDefault="004E7B23">
      <w:pPr>
        <w:pStyle w:val="BodyA"/>
        <w:ind w:left="655"/>
        <w:rPr>
          <w:rStyle w:val="None"/>
          <w:rFonts w:ascii="Calibri" w:eastAsia="Calibri" w:hAnsi="Calibri" w:cs="Calibri"/>
          <w:sz w:val="22"/>
          <w:szCs w:val="22"/>
        </w:rPr>
      </w:pPr>
      <w:r>
        <w:rPr>
          <w:rStyle w:val="None"/>
          <w:rFonts w:ascii="Calibri" w:eastAsia="Calibri" w:hAnsi="Calibri" w:cs="Calibri"/>
          <w:sz w:val="22"/>
          <w:szCs w:val="22"/>
        </w:rPr>
        <w:t>G0397 – Alcohol / substance use intervention, &gt;30 min</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$76</w:t>
      </w:r>
      <w:r>
        <w:rPr>
          <w:rStyle w:val="None"/>
          <w:rFonts w:ascii="Calibri" w:eastAsia="Calibri" w:hAnsi="Calibri" w:cs="Calibri"/>
          <w:sz w:val="22"/>
          <w:szCs w:val="22"/>
        </w:rPr>
        <w:br/>
        <w:t>99484 – General Behavioral Health Integration Care Management</w:t>
      </w:r>
      <w:r>
        <w:rPr>
          <w:rStyle w:val="None"/>
          <w:rFonts w:ascii="Calibri" w:eastAsia="Calibri" w:hAnsi="Calibri" w:cs="Calibri"/>
          <w:sz w:val="22"/>
          <w:szCs w:val="22"/>
        </w:rPr>
        <w:tab/>
      </w:r>
      <w:r>
        <w:rPr>
          <w:rStyle w:val="None"/>
          <w:rFonts w:ascii="Calibri" w:eastAsia="Calibri" w:hAnsi="Calibri" w:cs="Calibri"/>
          <w:sz w:val="22"/>
          <w:szCs w:val="22"/>
        </w:rPr>
        <w:tab/>
        <w:t>$48</w:t>
      </w:r>
    </w:p>
    <w:p w14:paraId="717FC133" w14:textId="77777777" w:rsidR="00A116CE" w:rsidRDefault="004E7B23">
      <w:pPr>
        <w:pStyle w:val="BodyA"/>
        <w:ind w:left="655"/>
        <w:rPr>
          <w:rStyle w:val="None"/>
          <w:rFonts w:ascii="Calibri" w:eastAsia="Calibri" w:hAnsi="Calibri" w:cs="Calibri"/>
          <w:sz w:val="22"/>
          <w:szCs w:val="22"/>
        </w:rPr>
      </w:pPr>
      <w:r>
        <w:rPr>
          <w:rStyle w:val="None"/>
          <w:rFonts w:ascii="Calibri" w:eastAsia="Calibri" w:hAnsi="Calibri" w:cs="Calibri"/>
          <w:sz w:val="22"/>
          <w:szCs w:val="22"/>
        </w:rPr>
        <w:t>G0513 – Prolonged Preventive Services, first 30 mins</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$66</w:t>
      </w:r>
    </w:p>
    <w:p w14:paraId="4D23AD59" w14:textId="4DF2716B" w:rsidR="00A116CE" w:rsidRDefault="004E7B23">
      <w:pPr>
        <w:pStyle w:val="BodyA"/>
        <w:ind w:left="655"/>
        <w:rPr>
          <w:rStyle w:val="None"/>
          <w:rFonts w:ascii="Calibri" w:eastAsia="Calibri" w:hAnsi="Calibri" w:cs="Calibri"/>
          <w:sz w:val="22"/>
          <w:szCs w:val="22"/>
        </w:rPr>
      </w:pPr>
      <w:r>
        <w:rPr>
          <w:rStyle w:val="None"/>
          <w:rFonts w:ascii="Calibri" w:eastAsia="Calibri" w:hAnsi="Calibri" w:cs="Calibri"/>
          <w:sz w:val="22"/>
          <w:szCs w:val="22"/>
        </w:rPr>
        <w:t>G0513 – Prolonged Preventive Services, &gt;30 min</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$66</w:t>
      </w:r>
    </w:p>
    <w:p w14:paraId="68F60523" w14:textId="413005CD" w:rsidR="00F537E7" w:rsidRDefault="00F537E7">
      <w:pPr>
        <w:pStyle w:val="BodyA"/>
        <w:ind w:left="655"/>
        <w:rPr>
          <w:rStyle w:val="None"/>
          <w:rFonts w:ascii="Calibri" w:eastAsia="Calibri" w:hAnsi="Calibri" w:cs="Calibri"/>
          <w:sz w:val="22"/>
          <w:szCs w:val="22"/>
        </w:rPr>
      </w:pPr>
      <w:r>
        <w:rPr>
          <w:rFonts w:ascii="Calibri" w:eastAsia="Calibri" w:hAnsi="Calibri" w:cs="Calibri"/>
          <w:sz w:val="22"/>
        </w:rPr>
        <w:t>96160-</w:t>
      </w:r>
      <w:r>
        <w:rPr>
          <w:rFonts w:ascii="Calibri" w:eastAsia="Calibri" w:hAnsi="Calibri" w:cs="Calibri"/>
        </w:rPr>
        <w:t>96161</w:t>
      </w:r>
      <w:r w:rsidRPr="00870846">
        <w:rPr>
          <w:rFonts w:ascii="Calibri" w:eastAsia="Calibri" w:hAnsi="Calibri" w:cs="Calibri"/>
          <w:sz w:val="22"/>
        </w:rPr>
        <w:t xml:space="preserve"> –</w:t>
      </w:r>
      <w:r>
        <w:rPr>
          <w:rFonts w:ascii="Calibri" w:eastAsia="Calibri" w:hAnsi="Calibri" w:cs="Calibri"/>
          <w:sz w:val="22"/>
        </w:rPr>
        <w:t>Health risk assessment for patient or caregiver/guardian</w:t>
      </w:r>
    </w:p>
    <w:p w14:paraId="6CBE17DB" w14:textId="46AB829E" w:rsidR="00A116CE" w:rsidRDefault="004E7B23">
      <w:pPr>
        <w:pStyle w:val="BodyA"/>
        <w:ind w:left="655"/>
        <w:rPr>
          <w:rStyle w:val="None"/>
          <w:rFonts w:ascii="Calibri" w:eastAsia="Calibri" w:hAnsi="Calibri" w:cs="Calibri"/>
          <w:sz w:val="22"/>
          <w:szCs w:val="22"/>
        </w:rPr>
      </w:pPr>
      <w:r>
        <w:rPr>
          <w:rStyle w:val="None"/>
          <w:rFonts w:ascii="Calibri" w:eastAsia="Calibri" w:hAnsi="Calibri" w:cs="Calibri"/>
          <w:sz w:val="22"/>
          <w:szCs w:val="22"/>
        </w:rPr>
        <w:t>X1-5 – Patient Relationship Category Modifiers</w:t>
      </w:r>
      <w:r>
        <w:rPr>
          <w:rStyle w:val="None"/>
          <w:rFonts w:ascii="Calibri" w:eastAsia="Calibri" w:hAnsi="Calibri" w:cs="Calibri"/>
        </w:rPr>
        <w:br/>
      </w:r>
    </w:p>
    <w:p w14:paraId="37993158" w14:textId="2FB03E2D" w:rsidR="00F537E7" w:rsidRDefault="004E7B23" w:rsidP="00F537E7">
      <w:pPr>
        <w:pStyle w:val="NormalWeb"/>
        <w:spacing w:before="0" w:after="0"/>
        <w:rPr>
          <w:rStyle w:val="None"/>
          <w:rFonts w:ascii="Calibri" w:eastAsia="Calibri" w:hAnsi="Calibri" w:cs="Calibri"/>
          <w:sz w:val="22"/>
          <w:szCs w:val="22"/>
        </w:rPr>
      </w:pPr>
      <w:r>
        <w:rPr>
          <w:rStyle w:val="None"/>
          <w:rFonts w:ascii="Calibri" w:eastAsia="Calibri" w:hAnsi="Calibri" w:cs="Calibri"/>
          <w:sz w:val="22"/>
          <w:szCs w:val="22"/>
        </w:rPr>
        <w:t>Don’t forget your paraprofessionals. Physicians and staff leave money on the table all the time because they don’t know how to code properly for paraprofessionals. Paraprofessionals, like health coaches can be attached as another provider- and it all gets rolled up to enhance the RVU for the code; health coach</w:t>
      </w:r>
      <w:r w:rsidR="00200E99">
        <w:rPr>
          <w:rStyle w:val="None"/>
          <w:rFonts w:ascii="Calibri" w:eastAsia="Calibri" w:hAnsi="Calibri" w:cs="Calibri"/>
          <w:sz w:val="22"/>
          <w:szCs w:val="22"/>
        </w:rPr>
        <w:t>ing can also</w:t>
      </w:r>
      <w:r>
        <w:rPr>
          <w:rStyle w:val="None"/>
          <w:rFonts w:ascii="Calibri" w:eastAsia="Calibri" w:hAnsi="Calibri" w:cs="Calibri"/>
          <w:sz w:val="22"/>
          <w:szCs w:val="22"/>
        </w:rPr>
        <w:t xml:space="preserve"> be coded that way.</w:t>
      </w:r>
      <w:r w:rsidR="00F537E7">
        <w:rPr>
          <w:rStyle w:val="None"/>
          <w:rFonts w:ascii="Calibri" w:eastAsia="Calibri" w:hAnsi="Calibri" w:cs="Calibri"/>
          <w:sz w:val="22"/>
          <w:szCs w:val="22"/>
        </w:rPr>
        <w:t xml:space="preserve"> </w:t>
      </w:r>
    </w:p>
    <w:p w14:paraId="1F68E083" w14:textId="77777777" w:rsidR="00F537E7" w:rsidRDefault="00F537E7" w:rsidP="00F537E7">
      <w:pPr>
        <w:pStyle w:val="NormalWeb"/>
        <w:spacing w:before="0" w:after="0"/>
        <w:rPr>
          <w:rStyle w:val="None"/>
          <w:rFonts w:ascii="Calibri" w:eastAsia="Calibri" w:hAnsi="Calibri" w:cs="Calibri"/>
          <w:sz w:val="22"/>
          <w:szCs w:val="22"/>
        </w:rPr>
      </w:pPr>
    </w:p>
    <w:p w14:paraId="258C4F24" w14:textId="4C53D416" w:rsidR="00A116CE" w:rsidRDefault="00F537E7" w:rsidP="00F537E7">
      <w:pPr>
        <w:pStyle w:val="NormalWeb"/>
        <w:spacing w:before="0" w:after="0"/>
        <w:rPr>
          <w:rFonts w:ascii="Calibri" w:eastAsia="Calibri" w:hAnsi="Calibri" w:cs="Calibri"/>
        </w:rPr>
      </w:pPr>
      <w:r>
        <w:rPr>
          <w:rFonts w:ascii="Calibri" w:hAnsi="Calibri" w:cs="Calibri"/>
          <w:sz w:val="22"/>
          <w:szCs w:val="22"/>
        </w:rPr>
        <w:t>Additionally, telephone services provided by a physician or other qualified health care professional who report evaluation and management (E/M) services</w:t>
      </w:r>
      <w:r w:rsidR="00200E99">
        <w:rPr>
          <w:rFonts w:ascii="Calibri" w:hAnsi="Calibri" w:cs="Calibri"/>
          <w:sz w:val="22"/>
          <w:szCs w:val="22"/>
        </w:rPr>
        <w:t xml:space="preserve"> can be billed</w:t>
      </w:r>
      <w:r>
        <w:rPr>
          <w:rFonts w:ascii="Calibri" w:hAnsi="Calibri" w:cs="Calibri"/>
          <w:sz w:val="22"/>
          <w:szCs w:val="22"/>
        </w:rPr>
        <w:t>: 99441-99443 (based on length of call).</w:t>
      </w:r>
    </w:p>
    <w:p w14:paraId="12C4F0F2" w14:textId="77777777" w:rsidR="00A116CE" w:rsidRDefault="004E7B23">
      <w:pPr>
        <w:pStyle w:val="Heading"/>
      </w:pPr>
      <w:r>
        <w:t>Bottom Line</w:t>
      </w:r>
    </w:p>
    <w:p w14:paraId="285C37BA" w14:textId="77777777" w:rsidR="00A116CE" w:rsidRDefault="00A116CE">
      <w:pPr>
        <w:pStyle w:val="BodyA"/>
      </w:pPr>
    </w:p>
    <w:p w14:paraId="74D29CCE" w14:textId="5CA18570" w:rsidR="00A116CE" w:rsidRDefault="004E7B23">
      <w:pPr>
        <w:pStyle w:val="BodyA"/>
        <w:rPr>
          <w:rStyle w:val="None"/>
          <w:rFonts w:ascii="Calibri" w:eastAsia="Calibri" w:hAnsi="Calibri" w:cs="Calibri"/>
          <w:sz w:val="22"/>
          <w:szCs w:val="22"/>
        </w:rPr>
      </w:pPr>
      <w:r>
        <w:rPr>
          <w:rStyle w:val="None"/>
          <w:rFonts w:ascii="Calibri" w:eastAsia="Calibri" w:hAnsi="Calibri" w:cs="Calibri"/>
          <w:sz w:val="22"/>
          <w:szCs w:val="22"/>
        </w:rPr>
        <w:t>Under a fee-for-service payment paradigm, a well-conceived and managed health-and-well-being service line can bring in an additional $100,000 a year</w:t>
      </w:r>
      <w:r w:rsidR="00D972E7">
        <w:rPr>
          <w:rStyle w:val="None"/>
          <w:rFonts w:ascii="Calibri" w:eastAsia="Calibri" w:hAnsi="Calibri" w:cs="Calibri"/>
          <w:sz w:val="22"/>
          <w:szCs w:val="22"/>
        </w:rPr>
        <w:t xml:space="preserve"> per provider</w:t>
      </w:r>
      <w:r>
        <w:rPr>
          <w:rStyle w:val="None"/>
          <w:rFonts w:ascii="Calibri" w:eastAsia="Calibri" w:hAnsi="Calibri" w:cs="Calibri"/>
          <w:sz w:val="22"/>
          <w:szCs w:val="22"/>
        </w:rPr>
        <w:t xml:space="preserve"> in </w:t>
      </w:r>
      <w:r>
        <w:rPr>
          <w:rStyle w:val="None"/>
          <w:rFonts w:ascii="Calibri" w:eastAsia="Calibri" w:hAnsi="Calibri" w:cs="Calibri"/>
          <w:i/>
          <w:iCs/>
          <w:sz w:val="22"/>
          <w:szCs w:val="22"/>
        </w:rPr>
        <w:t>profit</w:t>
      </w:r>
      <w:r>
        <w:rPr>
          <w:rStyle w:val="None"/>
          <w:rFonts w:ascii="Calibri" w:eastAsia="Calibri" w:hAnsi="Calibri" w:cs="Calibri"/>
          <w:sz w:val="22"/>
          <w:szCs w:val="22"/>
        </w:rPr>
        <w:t xml:space="preserve"> to a primary care practice. That’s because while the payments aren’t high for physicians, they are high for allied health care workers and health coaches who do most of the work under the providers supervision. In a traditional disease-care service line, </w:t>
      </w:r>
      <w:r w:rsidR="00D972E7">
        <w:rPr>
          <w:rStyle w:val="None"/>
          <w:rFonts w:ascii="Calibri" w:eastAsia="Calibri" w:hAnsi="Calibri" w:cs="Calibri"/>
          <w:sz w:val="22"/>
          <w:szCs w:val="22"/>
        </w:rPr>
        <w:t>a low percentage</w:t>
      </w:r>
      <w:r>
        <w:rPr>
          <w:rStyle w:val="None"/>
          <w:rFonts w:ascii="Calibri" w:eastAsia="Calibri" w:hAnsi="Calibri" w:cs="Calibri"/>
          <w:sz w:val="22"/>
          <w:szCs w:val="22"/>
        </w:rPr>
        <w:t xml:space="preserve"> can be billed for services by practice staff. </w:t>
      </w:r>
      <w:r w:rsidR="00D972E7">
        <w:rPr>
          <w:rStyle w:val="None"/>
          <w:rFonts w:ascii="Calibri" w:eastAsia="Calibri" w:hAnsi="Calibri" w:cs="Calibri"/>
          <w:sz w:val="22"/>
          <w:szCs w:val="22"/>
        </w:rPr>
        <w:t>A much higher percent of h</w:t>
      </w:r>
      <w:r>
        <w:rPr>
          <w:rStyle w:val="None"/>
          <w:rFonts w:ascii="Calibri" w:eastAsia="Calibri" w:hAnsi="Calibri" w:cs="Calibri"/>
          <w:sz w:val="22"/>
          <w:szCs w:val="22"/>
        </w:rPr>
        <w:t xml:space="preserve">ealth-and-well-being services </w:t>
      </w:r>
      <w:r w:rsidR="00D972E7">
        <w:rPr>
          <w:rStyle w:val="None"/>
          <w:rFonts w:ascii="Calibri" w:eastAsia="Calibri" w:hAnsi="Calibri" w:cs="Calibri"/>
          <w:sz w:val="22"/>
          <w:szCs w:val="22"/>
        </w:rPr>
        <w:t xml:space="preserve">can be done by practice staff </w:t>
      </w:r>
      <w:r>
        <w:rPr>
          <w:rStyle w:val="None"/>
          <w:rFonts w:ascii="Calibri" w:eastAsia="Calibri" w:hAnsi="Calibri" w:cs="Calibri"/>
          <w:sz w:val="22"/>
          <w:szCs w:val="22"/>
        </w:rPr>
        <w:t>allow</w:t>
      </w:r>
      <w:r w:rsidR="00D972E7">
        <w:rPr>
          <w:rStyle w:val="None"/>
          <w:rFonts w:ascii="Calibri" w:eastAsia="Calibri" w:hAnsi="Calibri" w:cs="Calibri"/>
          <w:sz w:val="22"/>
          <w:szCs w:val="22"/>
        </w:rPr>
        <w:t>ing</w:t>
      </w:r>
      <w:r>
        <w:rPr>
          <w:rStyle w:val="None"/>
          <w:rFonts w:ascii="Calibri" w:eastAsia="Calibri" w:hAnsi="Calibri" w:cs="Calibri"/>
          <w:sz w:val="22"/>
          <w:szCs w:val="22"/>
        </w:rPr>
        <w:t xml:space="preserve"> these workers to </w:t>
      </w:r>
      <w:r>
        <w:rPr>
          <w:rStyle w:val="None"/>
          <w:rFonts w:ascii="Calibri" w:eastAsia="Calibri" w:hAnsi="Calibri" w:cs="Calibri"/>
          <w:sz w:val="22"/>
          <w:szCs w:val="22"/>
        </w:rPr>
        <w:lastRenderedPageBreak/>
        <w:t xml:space="preserve">improve </w:t>
      </w:r>
      <w:r w:rsidR="00D972E7">
        <w:rPr>
          <w:rStyle w:val="None"/>
          <w:rFonts w:ascii="Calibri" w:eastAsia="Calibri" w:hAnsi="Calibri" w:cs="Calibri"/>
          <w:sz w:val="22"/>
          <w:szCs w:val="22"/>
        </w:rPr>
        <w:t xml:space="preserve">the </w:t>
      </w:r>
      <w:r>
        <w:rPr>
          <w:rStyle w:val="None"/>
          <w:rFonts w:ascii="Calibri" w:eastAsia="Calibri" w:hAnsi="Calibri" w:cs="Calibri"/>
          <w:sz w:val="22"/>
          <w:szCs w:val="22"/>
        </w:rPr>
        <w:t xml:space="preserve">productivity </w:t>
      </w:r>
      <w:r w:rsidR="00D972E7">
        <w:rPr>
          <w:rStyle w:val="None"/>
          <w:rFonts w:ascii="Calibri" w:eastAsia="Calibri" w:hAnsi="Calibri" w:cs="Calibri"/>
          <w:sz w:val="22"/>
          <w:szCs w:val="22"/>
        </w:rPr>
        <w:t xml:space="preserve">and revenue </w:t>
      </w:r>
      <w:r>
        <w:rPr>
          <w:rStyle w:val="None"/>
          <w:rFonts w:ascii="Calibri" w:eastAsia="Calibri" w:hAnsi="Calibri" w:cs="Calibri"/>
          <w:sz w:val="22"/>
          <w:szCs w:val="22"/>
        </w:rPr>
        <w:t xml:space="preserve">of your practice. </w:t>
      </w:r>
      <w:r w:rsidR="00D972E7">
        <w:rPr>
          <w:rStyle w:val="None"/>
          <w:rFonts w:ascii="Calibri" w:eastAsia="Calibri" w:hAnsi="Calibri" w:cs="Calibri"/>
          <w:sz w:val="22"/>
          <w:szCs w:val="22"/>
        </w:rPr>
        <w:t xml:space="preserve">All while addressing what the patient needs to improve their health. </w:t>
      </w:r>
    </w:p>
    <w:p w14:paraId="4ED67A8E" w14:textId="77777777" w:rsidR="00A116CE" w:rsidRDefault="00A116CE">
      <w:pPr>
        <w:pStyle w:val="BodyA"/>
        <w:rPr>
          <w:rFonts w:ascii="Calibri" w:eastAsia="Calibri" w:hAnsi="Calibri" w:cs="Calibri"/>
          <w:sz w:val="22"/>
          <w:szCs w:val="22"/>
        </w:rPr>
      </w:pPr>
    </w:p>
    <w:p w14:paraId="15286CD6" w14:textId="7443C947" w:rsidR="00A116CE" w:rsidRDefault="00D972E7">
      <w:pPr>
        <w:pStyle w:val="BodyA"/>
        <w:rPr>
          <w:rStyle w:val="None"/>
          <w:rFonts w:ascii="Calibri" w:eastAsia="Calibri" w:hAnsi="Calibri" w:cs="Calibri"/>
          <w:sz w:val="22"/>
          <w:szCs w:val="22"/>
        </w:rPr>
      </w:pPr>
      <w:r>
        <w:rPr>
          <w:rStyle w:val="None"/>
          <w:rFonts w:ascii="Calibri" w:eastAsia="Calibri" w:hAnsi="Calibri" w:cs="Calibri"/>
          <w:sz w:val="22"/>
          <w:szCs w:val="22"/>
        </w:rPr>
        <w:t>Not in a fee-for-service environment? In</w:t>
      </w:r>
      <w:r w:rsidR="004E7B23">
        <w:rPr>
          <w:rStyle w:val="None"/>
          <w:rFonts w:ascii="Calibri" w:eastAsia="Calibri" w:hAnsi="Calibri" w:cs="Calibri"/>
          <w:sz w:val="22"/>
          <w:szCs w:val="22"/>
        </w:rPr>
        <w:t xml:space="preserve"> value-based payment model</w:t>
      </w:r>
      <w:r>
        <w:rPr>
          <w:rStyle w:val="None"/>
          <w:rFonts w:ascii="Calibri" w:eastAsia="Calibri" w:hAnsi="Calibri" w:cs="Calibri"/>
          <w:sz w:val="22"/>
          <w:szCs w:val="22"/>
        </w:rPr>
        <w:t>s</w:t>
      </w:r>
      <w:r w:rsidR="004E7B23">
        <w:rPr>
          <w:rStyle w:val="None"/>
          <w:rFonts w:ascii="Calibri" w:eastAsia="Calibri" w:hAnsi="Calibri" w:cs="Calibri"/>
          <w:sz w:val="22"/>
          <w:szCs w:val="22"/>
        </w:rPr>
        <w:t>, health-and-well-being service line</w:t>
      </w:r>
      <w:r>
        <w:rPr>
          <w:rStyle w:val="None"/>
          <w:rFonts w:ascii="Calibri" w:eastAsia="Calibri" w:hAnsi="Calibri" w:cs="Calibri"/>
          <w:sz w:val="22"/>
          <w:szCs w:val="22"/>
        </w:rPr>
        <w:t>s</w:t>
      </w:r>
      <w:r w:rsidR="004E7B23">
        <w:rPr>
          <w:rStyle w:val="None"/>
          <w:rFonts w:ascii="Calibri" w:eastAsia="Calibri" w:hAnsi="Calibri" w:cs="Calibri"/>
          <w:sz w:val="22"/>
          <w:szCs w:val="22"/>
        </w:rPr>
        <w:t xml:space="preserve"> ear</w:t>
      </w:r>
      <w:r>
        <w:rPr>
          <w:rStyle w:val="None"/>
          <w:rFonts w:ascii="Calibri" w:eastAsia="Calibri" w:hAnsi="Calibri" w:cs="Calibri"/>
          <w:sz w:val="22"/>
          <w:szCs w:val="22"/>
        </w:rPr>
        <w:t xml:space="preserve">n </w:t>
      </w:r>
      <w:r w:rsidR="004E7B23">
        <w:rPr>
          <w:rStyle w:val="None"/>
          <w:rFonts w:ascii="Calibri" w:eastAsia="Calibri" w:hAnsi="Calibri" w:cs="Calibri"/>
          <w:sz w:val="22"/>
          <w:szCs w:val="22"/>
        </w:rPr>
        <w:t>essential points for Patient-Centered Medical Home e</w:t>
      </w:r>
      <w:r>
        <w:rPr>
          <w:rStyle w:val="None"/>
          <w:rFonts w:ascii="Calibri" w:eastAsia="Calibri" w:hAnsi="Calibri" w:cs="Calibri"/>
          <w:sz w:val="22"/>
          <w:szCs w:val="22"/>
        </w:rPr>
        <w:t>valuations by NCQA, and provide</w:t>
      </w:r>
      <w:r w:rsidR="004E7B23">
        <w:rPr>
          <w:rStyle w:val="None"/>
          <w:rFonts w:ascii="Calibri" w:eastAsia="Calibri" w:hAnsi="Calibri" w:cs="Calibri"/>
          <w:sz w:val="22"/>
          <w:szCs w:val="22"/>
        </w:rPr>
        <w:t xml:space="preserve"> a new angle to improve outcomes for pay-for-performance systems such as MIPS (Medicare’s Merit-Based Incentive Payment System). </w:t>
      </w:r>
      <w:r>
        <w:rPr>
          <w:rStyle w:val="None"/>
          <w:rFonts w:ascii="Calibri" w:eastAsia="Calibri" w:hAnsi="Calibri" w:cs="Calibri"/>
          <w:sz w:val="22"/>
          <w:szCs w:val="22"/>
        </w:rPr>
        <w:t xml:space="preserve">While demonstrating these outcomes requires more than coding, having a practice that addresses and tracks what actually improves health for patients is essential.  </w:t>
      </w:r>
    </w:p>
    <w:p w14:paraId="4AE3F9A6" w14:textId="77777777" w:rsidR="00A116CE" w:rsidRDefault="00A116CE">
      <w:pPr>
        <w:pStyle w:val="BodyA"/>
        <w:rPr>
          <w:rFonts w:ascii="Calibri" w:eastAsia="Calibri" w:hAnsi="Calibri" w:cs="Calibri"/>
          <w:sz w:val="22"/>
          <w:szCs w:val="22"/>
        </w:rPr>
      </w:pPr>
    </w:p>
    <w:p w14:paraId="41A15D37" w14:textId="44F48A52" w:rsidR="00A116CE" w:rsidRDefault="004E7B23" w:rsidP="00F537E7">
      <w:pPr>
        <w:pStyle w:val="BodyA"/>
      </w:pPr>
      <w:r>
        <w:rPr>
          <w:rStyle w:val="None"/>
          <w:rFonts w:ascii="Calibri" w:eastAsia="Calibri" w:hAnsi="Calibri" w:cs="Calibri"/>
          <w:sz w:val="22"/>
          <w:szCs w:val="22"/>
        </w:rPr>
        <w:t>Give your practice an ability to focus on health-and-well-being and improve quality-of-life for your patients through</w:t>
      </w:r>
      <w:r w:rsidR="00D972E7">
        <w:rPr>
          <w:rStyle w:val="None"/>
          <w:rFonts w:ascii="Calibri" w:eastAsia="Calibri" w:hAnsi="Calibri" w:cs="Calibri"/>
          <w:sz w:val="22"/>
          <w:szCs w:val="22"/>
        </w:rPr>
        <w:t xml:space="preserve"> integrative health visits and the HOPE Note</w:t>
      </w:r>
      <w:r>
        <w:rPr>
          <w:rStyle w:val="None"/>
          <w:rFonts w:ascii="Calibri" w:eastAsia="Calibri" w:hAnsi="Calibri" w:cs="Calibri"/>
          <w:sz w:val="22"/>
          <w:szCs w:val="22"/>
        </w:rPr>
        <w:t>!</w:t>
      </w:r>
    </w:p>
    <w:p w14:paraId="5E434101" w14:textId="59D7C691" w:rsidR="00A116CE" w:rsidRPr="00417094" w:rsidRDefault="00417094" w:rsidP="00417094">
      <w:pPr>
        <w:pStyle w:val="Heading"/>
      </w:pPr>
      <w:bookmarkStart w:id="0" w:name="_Hlk521506870"/>
      <w:r>
        <w:t xml:space="preserve">Example 1: </w:t>
      </w:r>
      <w:bookmarkEnd w:id="0"/>
      <w:r w:rsidR="004E7B23" w:rsidRPr="00417094">
        <w:t>Cone Family Medicine Clinic, Chapel Hill, NC</w:t>
      </w:r>
    </w:p>
    <w:p w14:paraId="06E8F66F" w14:textId="4911D0E4" w:rsidR="00A116CE" w:rsidRDefault="004E7B23" w:rsidP="00417094">
      <w:pPr>
        <w:pStyle w:val="BodyA"/>
        <w:tabs>
          <w:tab w:val="left" w:pos="720"/>
        </w:tabs>
        <w:rPr>
          <w:rFonts w:ascii="Calibri" w:eastAsia="Calibri" w:hAnsi="Calibri" w:cs="Calibri"/>
          <w:sz w:val="22"/>
          <w:szCs w:val="22"/>
          <w:lang w:val="fr-FR"/>
        </w:rPr>
      </w:pPr>
      <w:r>
        <w:rPr>
          <w:rStyle w:val="None"/>
          <w:rFonts w:ascii="Calibri" w:eastAsia="Calibri" w:hAnsi="Calibri" w:cs="Calibri"/>
          <w:sz w:val="22"/>
          <w:szCs w:val="22"/>
        </w:rPr>
        <w:t xml:space="preserve">The Cone Family Medicine Clinic in Chapel Hill, NC, started implementing health education specialists (HES) and health and wellness coaches (HWC) in their practice in late 2011 / early 2012. </w:t>
      </w:r>
    </w:p>
    <w:p w14:paraId="3242C3E9" w14:textId="4B879B43" w:rsidR="00A116CE" w:rsidRDefault="00A116CE" w:rsidP="00417094">
      <w:pPr>
        <w:pStyle w:val="BodyA"/>
        <w:tabs>
          <w:tab w:val="left" w:pos="720"/>
        </w:tabs>
        <w:ind w:left="1080"/>
        <w:rPr>
          <w:rFonts w:ascii="Calibri" w:eastAsia="Calibri" w:hAnsi="Calibri" w:cs="Calibri"/>
          <w:sz w:val="22"/>
          <w:szCs w:val="22"/>
        </w:rPr>
      </w:pPr>
    </w:p>
    <w:p w14:paraId="4F080053" w14:textId="10FF83C7" w:rsidR="00A116CE" w:rsidRDefault="004E7B23">
      <w:pPr>
        <w:pStyle w:val="BodyA"/>
        <w:rPr>
          <w:rStyle w:val="None"/>
          <w:rFonts w:ascii="Calibri" w:eastAsia="Calibri" w:hAnsi="Calibri" w:cs="Calibri"/>
          <w:sz w:val="22"/>
          <w:szCs w:val="22"/>
        </w:rPr>
      </w:pPr>
      <w:r>
        <w:rPr>
          <w:rStyle w:val="None"/>
          <w:rFonts w:ascii="Calibri" w:eastAsia="Calibri" w:hAnsi="Calibri" w:cs="Calibri"/>
          <w:sz w:val="22"/>
          <w:szCs w:val="22"/>
        </w:rPr>
        <w:t xml:space="preserve">The payer mix was 28% Medicare, 27% uninsured, 25% Medicaid and 20% private insurance. Their preference for HES preparation was an MPH degree with certification in health education and health coaching. </w:t>
      </w:r>
    </w:p>
    <w:p w14:paraId="01014234" w14:textId="77777777" w:rsidR="00A116CE" w:rsidRDefault="00A116CE">
      <w:pPr>
        <w:pStyle w:val="BodyA"/>
        <w:rPr>
          <w:rStyle w:val="None"/>
          <w:rFonts w:ascii="Calibri" w:eastAsia="Calibri" w:hAnsi="Calibri" w:cs="Calibri"/>
          <w:sz w:val="22"/>
          <w:szCs w:val="22"/>
        </w:rPr>
      </w:pPr>
      <w:bookmarkStart w:id="1" w:name="_GoBack"/>
      <w:bookmarkEnd w:id="1"/>
    </w:p>
    <w:p w14:paraId="28557466" w14:textId="31AC47A1" w:rsidR="00A116CE" w:rsidRDefault="004E7B23">
      <w:pPr>
        <w:pStyle w:val="BodyA"/>
        <w:rPr>
          <w:rStyle w:val="None"/>
          <w:rFonts w:ascii="Calibri" w:eastAsia="Calibri" w:hAnsi="Calibri" w:cs="Calibri"/>
          <w:sz w:val="22"/>
          <w:szCs w:val="22"/>
        </w:rPr>
      </w:pPr>
      <w:r>
        <w:rPr>
          <w:rStyle w:val="None"/>
          <w:rFonts w:ascii="Calibri" w:eastAsia="Calibri" w:hAnsi="Calibri" w:cs="Calibri"/>
          <w:sz w:val="22"/>
          <w:szCs w:val="22"/>
        </w:rPr>
        <w:t>The HES organized and facilitated annual wellness visits (AWV) done by the HES with preventive physical exams (PPE) done by the physician - visits which can both be billed on the same day. The HES promoted these co-visits through outreach and education, since these concepts and types of visit were new to everyone. The patients spend the majority of about 45 minutes with the HES, and a few minutes with the provider for the PPE and any medication m</w:t>
      </w:r>
      <w:r w:rsidR="00DE478B">
        <w:rPr>
          <w:rStyle w:val="None"/>
          <w:rFonts w:ascii="Calibri" w:eastAsia="Calibri" w:hAnsi="Calibri" w:cs="Calibri"/>
          <w:sz w:val="22"/>
          <w:szCs w:val="22"/>
        </w:rPr>
        <w:t>anagement issues. The HES works</w:t>
      </w:r>
      <w:r>
        <w:rPr>
          <w:rStyle w:val="None"/>
          <w:rFonts w:ascii="Calibri" w:eastAsia="Calibri" w:hAnsi="Calibri" w:cs="Calibri"/>
          <w:sz w:val="22"/>
          <w:szCs w:val="22"/>
        </w:rPr>
        <w:t xml:space="preserve"> with the patient</w:t>
      </w:r>
      <w:r w:rsidR="00DE478B">
        <w:rPr>
          <w:rStyle w:val="None"/>
          <w:rFonts w:ascii="Calibri" w:eastAsia="Calibri" w:hAnsi="Calibri" w:cs="Calibri"/>
          <w:sz w:val="22"/>
          <w:szCs w:val="22"/>
        </w:rPr>
        <w:t>s</w:t>
      </w:r>
      <w:r>
        <w:rPr>
          <w:rStyle w:val="None"/>
          <w:rFonts w:ascii="Calibri" w:eastAsia="Calibri" w:hAnsi="Calibri" w:cs="Calibri"/>
          <w:sz w:val="22"/>
          <w:szCs w:val="22"/>
        </w:rPr>
        <w:t xml:space="preserve"> to develop a lifestyle in</w:t>
      </w:r>
      <w:r w:rsidR="00DE478B">
        <w:rPr>
          <w:rStyle w:val="None"/>
          <w:rFonts w:ascii="Calibri" w:eastAsia="Calibri" w:hAnsi="Calibri" w:cs="Calibri"/>
          <w:sz w:val="22"/>
          <w:szCs w:val="22"/>
        </w:rPr>
        <w:t>tervention plan, and coordinates</w:t>
      </w:r>
      <w:r>
        <w:rPr>
          <w:rStyle w:val="None"/>
          <w:rFonts w:ascii="Calibri" w:eastAsia="Calibri" w:hAnsi="Calibri" w:cs="Calibri"/>
          <w:sz w:val="22"/>
          <w:szCs w:val="22"/>
        </w:rPr>
        <w:t xml:space="preserve"> any follow-up visits with the provider. In persons with 2 or more chronic conditions, the HES is also </w:t>
      </w:r>
      <w:r w:rsidR="00417094">
        <w:rPr>
          <w:rStyle w:val="None"/>
          <w:rFonts w:ascii="Calibri" w:eastAsia="Calibri" w:hAnsi="Calibri" w:cs="Calibri"/>
          <w:sz w:val="22"/>
          <w:szCs w:val="22"/>
        </w:rPr>
        <w:t>eligible</w:t>
      </w:r>
      <w:r>
        <w:rPr>
          <w:rStyle w:val="None"/>
          <w:rFonts w:ascii="Calibri" w:eastAsia="Calibri" w:hAnsi="Calibri" w:cs="Calibri"/>
          <w:sz w:val="22"/>
          <w:szCs w:val="22"/>
        </w:rPr>
        <w:t xml:space="preserve"> to do telephonic follow-up support. </w:t>
      </w:r>
    </w:p>
    <w:p w14:paraId="715F26AC" w14:textId="77777777" w:rsidR="00A116CE" w:rsidRDefault="00A116CE">
      <w:pPr>
        <w:pStyle w:val="BodyA"/>
        <w:rPr>
          <w:rStyle w:val="None"/>
          <w:rFonts w:ascii="Calibri" w:eastAsia="Calibri" w:hAnsi="Calibri" w:cs="Calibri"/>
          <w:sz w:val="22"/>
          <w:szCs w:val="22"/>
        </w:rPr>
      </w:pPr>
    </w:p>
    <w:p w14:paraId="6A5B93F9" w14:textId="46711B1E" w:rsidR="00A116CE" w:rsidRDefault="004E7B23">
      <w:pPr>
        <w:pStyle w:val="BodyA"/>
        <w:rPr>
          <w:rStyle w:val="None"/>
          <w:rFonts w:ascii="Calibri" w:eastAsia="Calibri" w:hAnsi="Calibri" w:cs="Calibri"/>
          <w:sz w:val="22"/>
          <w:szCs w:val="22"/>
        </w:rPr>
      </w:pPr>
      <w:r>
        <w:rPr>
          <w:rStyle w:val="None"/>
          <w:rFonts w:ascii="Calibri" w:eastAsia="Calibri" w:hAnsi="Calibri" w:cs="Calibri"/>
          <w:sz w:val="22"/>
          <w:szCs w:val="22"/>
        </w:rPr>
        <w:t xml:space="preserve">Cone Family Medicine found that the breakeven workload for the HES was about 3 patients per day, </w:t>
      </w:r>
      <w:r w:rsidR="00162FED">
        <w:rPr>
          <w:rStyle w:val="None"/>
          <w:rFonts w:ascii="Calibri" w:eastAsia="Calibri" w:hAnsi="Calibri" w:cs="Calibri"/>
          <w:sz w:val="22"/>
          <w:szCs w:val="22"/>
        </w:rPr>
        <w:t xml:space="preserve"> </w:t>
      </w:r>
      <w:r>
        <w:rPr>
          <w:rStyle w:val="None"/>
          <w:rFonts w:ascii="Calibri" w:eastAsia="Calibri" w:hAnsi="Calibri" w:cs="Calibri"/>
          <w:sz w:val="22"/>
          <w:szCs w:val="22"/>
        </w:rPr>
        <w:t xml:space="preserve">but was capable of seeing 6-7 patients a day depending on the size and circumstances of the patients in the practice. </w:t>
      </w:r>
    </w:p>
    <w:p w14:paraId="5648A6E0" w14:textId="77777777" w:rsidR="00A116CE" w:rsidRDefault="00A116CE">
      <w:pPr>
        <w:pStyle w:val="BodyA"/>
        <w:rPr>
          <w:rStyle w:val="None"/>
          <w:rFonts w:ascii="Calibri" w:eastAsia="Calibri" w:hAnsi="Calibri" w:cs="Calibri"/>
          <w:sz w:val="22"/>
          <w:szCs w:val="22"/>
        </w:rPr>
      </w:pPr>
    </w:p>
    <w:p w14:paraId="3C36BD09" w14:textId="3942E919" w:rsidR="00A116CE" w:rsidRPr="00417094" w:rsidRDefault="00417094">
      <w:pPr>
        <w:pStyle w:val="BodyA"/>
        <w:rPr>
          <w:rStyle w:val="None"/>
          <w:rFonts w:ascii="Calibri" w:eastAsia="Calibri" w:hAnsi="Calibri" w:cs="Calibri"/>
          <w:i/>
          <w:szCs w:val="22"/>
        </w:rPr>
      </w:pPr>
      <w:r w:rsidRPr="00417094">
        <w:rPr>
          <w:rStyle w:val="None"/>
          <w:rFonts w:ascii="Calibri" w:eastAsia="Calibri" w:hAnsi="Calibri" w:cs="Calibri"/>
          <w:i/>
          <w:szCs w:val="22"/>
        </w:rPr>
        <w:t xml:space="preserve">Source: </w:t>
      </w:r>
      <w:r w:rsidR="004E7B23" w:rsidRPr="00417094">
        <w:rPr>
          <w:rStyle w:val="None"/>
          <w:rFonts w:ascii="Calibri" w:eastAsia="Calibri" w:hAnsi="Calibri" w:cs="Calibri"/>
          <w:i/>
          <w:szCs w:val="22"/>
        </w:rPr>
        <w:t xml:space="preserve">Chambliss ML, Lineberry SN, Evans WM, Bibeau DL. Adding health educations specialists to your practice. Fam Pract Manag. 2014 Mar-Apr;21(2):10-15. </w:t>
      </w:r>
    </w:p>
    <w:p w14:paraId="3E99AC7B" w14:textId="54B2635D" w:rsidR="00A116CE" w:rsidRPr="004E7B23" w:rsidRDefault="00295B64">
      <w:pPr>
        <w:pStyle w:val="BodyA"/>
        <w:rPr>
          <w:rStyle w:val="None"/>
          <w:rFonts w:ascii="Calibri" w:eastAsia="Calibri" w:hAnsi="Calibri" w:cs="Calibri"/>
          <w:i/>
          <w:szCs w:val="22"/>
        </w:rPr>
      </w:pPr>
      <w:hyperlink r:id="rId10" w:history="1">
        <w:r w:rsidR="004E7B23" w:rsidRPr="00417094">
          <w:rPr>
            <w:rStyle w:val="Hyperlink1"/>
            <w:rFonts w:ascii="Calibri" w:hAnsi="Calibri" w:cs="Calibri"/>
            <w:i/>
            <w:sz w:val="18"/>
          </w:rPr>
          <w:t>https://www.aafp.org/fpm/2014/0300/p10.html</w:t>
        </w:r>
      </w:hyperlink>
    </w:p>
    <w:p w14:paraId="09F18D6C" w14:textId="0FF93179" w:rsidR="00A116CE" w:rsidRPr="00417094" w:rsidRDefault="00417094" w:rsidP="00417094">
      <w:pPr>
        <w:pStyle w:val="Heading"/>
      </w:pPr>
      <w:r w:rsidRPr="00417094">
        <w:t xml:space="preserve">Example 2: </w:t>
      </w:r>
      <w:r w:rsidR="004E7B23" w:rsidRPr="00417094">
        <w:t>University of Pittsburgh Medical Center, Pittsburgh, PA</w:t>
      </w:r>
    </w:p>
    <w:p w14:paraId="12CB2527" w14:textId="77773883" w:rsidR="00A116CE" w:rsidRDefault="004E7B23">
      <w:pPr>
        <w:pStyle w:val="BodyA"/>
        <w:rPr>
          <w:rStyle w:val="None"/>
          <w:rFonts w:ascii="Calibri" w:eastAsia="Calibri" w:hAnsi="Calibri" w:cs="Calibri"/>
          <w:sz w:val="22"/>
          <w:szCs w:val="22"/>
        </w:rPr>
      </w:pPr>
      <w:r>
        <w:rPr>
          <w:rStyle w:val="None"/>
          <w:rFonts w:ascii="Calibri" w:eastAsia="Calibri" w:hAnsi="Calibri" w:cs="Calibri"/>
          <w:sz w:val="22"/>
          <w:szCs w:val="22"/>
        </w:rPr>
        <w:t xml:space="preserve">The University of Pittsburgh Medical Center </w:t>
      </w:r>
      <w:r w:rsidR="00417094">
        <w:rPr>
          <w:rStyle w:val="None"/>
          <w:rFonts w:ascii="Calibri" w:eastAsia="Calibri" w:hAnsi="Calibri" w:cs="Calibri"/>
          <w:sz w:val="22"/>
          <w:szCs w:val="22"/>
        </w:rPr>
        <w:t xml:space="preserve">(UPMC) </w:t>
      </w:r>
      <w:r>
        <w:rPr>
          <w:rStyle w:val="None"/>
          <w:rFonts w:ascii="Calibri" w:eastAsia="Calibri" w:hAnsi="Calibri" w:cs="Calibri"/>
          <w:sz w:val="22"/>
          <w:szCs w:val="22"/>
        </w:rPr>
        <w:t xml:space="preserve">used the lean six sigma management model to develop a quality improvement project to better support patient engagement and health behavior change. The lean six sigma protocol has 5 steps known as DMAIC: define, measure, analyze, intervene, </w:t>
      </w:r>
      <w:r w:rsidR="00417094">
        <w:rPr>
          <w:rStyle w:val="None"/>
          <w:rFonts w:ascii="Calibri" w:eastAsia="Calibri" w:hAnsi="Calibri" w:cs="Calibri"/>
          <w:sz w:val="22"/>
          <w:szCs w:val="22"/>
        </w:rPr>
        <w:t xml:space="preserve">and </w:t>
      </w:r>
      <w:r>
        <w:rPr>
          <w:rStyle w:val="None"/>
          <w:rFonts w:ascii="Calibri" w:eastAsia="Calibri" w:hAnsi="Calibri" w:cs="Calibri"/>
          <w:sz w:val="22"/>
          <w:szCs w:val="22"/>
        </w:rPr>
        <w:t>control. The research team worked through the DMAIC steps to solve the operational and technical challenges with the goal of streamlining the wellness process so that it could be implemented in other UP</w:t>
      </w:r>
      <w:r w:rsidR="00417094">
        <w:rPr>
          <w:rStyle w:val="None"/>
          <w:rFonts w:ascii="Calibri" w:eastAsia="Calibri" w:hAnsi="Calibri" w:cs="Calibri"/>
          <w:sz w:val="22"/>
          <w:szCs w:val="22"/>
        </w:rPr>
        <w:t>M</w:t>
      </w:r>
      <w:r>
        <w:rPr>
          <w:rStyle w:val="None"/>
          <w:rFonts w:ascii="Calibri" w:eastAsia="Calibri" w:hAnsi="Calibri" w:cs="Calibri"/>
          <w:sz w:val="22"/>
          <w:szCs w:val="22"/>
        </w:rPr>
        <w:t xml:space="preserve">C </w:t>
      </w:r>
      <w:r w:rsidR="00162FED">
        <w:rPr>
          <w:rStyle w:val="None"/>
          <w:rFonts w:ascii="Calibri" w:eastAsia="Calibri" w:hAnsi="Calibri" w:cs="Calibri"/>
          <w:sz w:val="22"/>
          <w:szCs w:val="22"/>
        </w:rPr>
        <w:t>facilities and</w:t>
      </w:r>
      <w:r>
        <w:rPr>
          <w:rStyle w:val="None"/>
          <w:rFonts w:ascii="Calibri" w:eastAsia="Calibri" w:hAnsi="Calibri" w:cs="Calibri"/>
          <w:sz w:val="22"/>
          <w:szCs w:val="22"/>
        </w:rPr>
        <w:t xml:space="preserve"> improve patient outcomes through better patient engagement and behavior change. </w:t>
      </w:r>
    </w:p>
    <w:p w14:paraId="165D167F" w14:textId="77777777" w:rsidR="00A116CE" w:rsidRDefault="00A116CE">
      <w:pPr>
        <w:pStyle w:val="BodyA"/>
        <w:rPr>
          <w:rStyle w:val="None"/>
          <w:rFonts w:ascii="Calibri" w:eastAsia="Calibri" w:hAnsi="Calibri" w:cs="Calibri"/>
          <w:sz w:val="22"/>
          <w:szCs w:val="22"/>
        </w:rPr>
      </w:pPr>
    </w:p>
    <w:p w14:paraId="0C34CB00" w14:textId="771A980E" w:rsidR="00A116CE" w:rsidRDefault="004E7B23">
      <w:pPr>
        <w:pStyle w:val="BodyA"/>
        <w:rPr>
          <w:rStyle w:val="None"/>
          <w:rFonts w:ascii="Calibri" w:eastAsia="Calibri" w:hAnsi="Calibri" w:cs="Calibri"/>
          <w:sz w:val="22"/>
          <w:szCs w:val="22"/>
        </w:rPr>
      </w:pPr>
      <w:r>
        <w:rPr>
          <w:rStyle w:val="None"/>
          <w:rFonts w:ascii="Calibri" w:eastAsia="Calibri" w:hAnsi="Calibri" w:cs="Calibri"/>
          <w:sz w:val="22"/>
          <w:szCs w:val="22"/>
        </w:rPr>
        <w:t xml:space="preserve">The outcome goals were to increase the tobacco cessation rate for patients wishing to quit smoking, and to </w:t>
      </w:r>
      <w:r w:rsidR="00417094">
        <w:rPr>
          <w:rStyle w:val="None"/>
          <w:rFonts w:ascii="Calibri" w:eastAsia="Calibri" w:hAnsi="Calibri" w:cs="Calibri"/>
          <w:sz w:val="22"/>
          <w:szCs w:val="22"/>
        </w:rPr>
        <w:t>achieve</w:t>
      </w:r>
      <w:r>
        <w:rPr>
          <w:rStyle w:val="None"/>
          <w:rFonts w:ascii="Calibri" w:eastAsia="Calibri" w:hAnsi="Calibri" w:cs="Calibri"/>
          <w:sz w:val="22"/>
          <w:szCs w:val="22"/>
        </w:rPr>
        <w:t xml:space="preserve"> ≥5% weight loss in patients who were participating in weight management. Implementation </w:t>
      </w:r>
      <w:r>
        <w:rPr>
          <w:rStyle w:val="None"/>
          <w:rFonts w:ascii="Calibri" w:eastAsia="Calibri" w:hAnsi="Calibri" w:cs="Calibri"/>
          <w:sz w:val="22"/>
          <w:szCs w:val="22"/>
        </w:rPr>
        <w:lastRenderedPageBreak/>
        <w:t xml:space="preserve">of the behavioral interventions was done by practice-based care managers (PBCM), who were </w:t>
      </w:r>
      <w:r w:rsidR="00162FED">
        <w:rPr>
          <w:rStyle w:val="None"/>
          <w:rFonts w:ascii="Calibri" w:eastAsia="Calibri" w:hAnsi="Calibri" w:cs="Calibri"/>
          <w:sz w:val="22"/>
          <w:szCs w:val="22"/>
        </w:rPr>
        <w:t xml:space="preserve">dual </w:t>
      </w:r>
      <w:r>
        <w:rPr>
          <w:rStyle w:val="None"/>
          <w:rFonts w:ascii="Calibri" w:eastAsia="Calibri" w:hAnsi="Calibri" w:cs="Calibri"/>
          <w:sz w:val="22"/>
          <w:szCs w:val="22"/>
        </w:rPr>
        <w:t>trained as</w:t>
      </w:r>
      <w:r w:rsidR="00162FED">
        <w:rPr>
          <w:rStyle w:val="None"/>
          <w:rFonts w:ascii="Calibri" w:eastAsia="Calibri" w:hAnsi="Calibri" w:cs="Calibri"/>
          <w:sz w:val="22"/>
          <w:szCs w:val="22"/>
        </w:rPr>
        <w:t xml:space="preserve"> </w:t>
      </w:r>
      <w:r>
        <w:rPr>
          <w:rStyle w:val="None"/>
          <w:rFonts w:ascii="Calibri" w:eastAsia="Calibri" w:hAnsi="Calibri" w:cs="Calibri"/>
          <w:sz w:val="22"/>
          <w:szCs w:val="22"/>
        </w:rPr>
        <w:t>health coach</w:t>
      </w:r>
      <w:r w:rsidR="00162FED">
        <w:rPr>
          <w:rStyle w:val="None"/>
          <w:rFonts w:ascii="Calibri" w:eastAsia="Calibri" w:hAnsi="Calibri" w:cs="Calibri"/>
          <w:sz w:val="22"/>
          <w:szCs w:val="22"/>
        </w:rPr>
        <w:t>es</w:t>
      </w:r>
      <w:r>
        <w:rPr>
          <w:rStyle w:val="None"/>
          <w:rFonts w:ascii="Calibri" w:eastAsia="Calibri" w:hAnsi="Calibri" w:cs="Calibri"/>
          <w:sz w:val="22"/>
          <w:szCs w:val="22"/>
        </w:rPr>
        <w:t xml:space="preserve"> to provide telephonic support to study participants. The process was facilitated by development of electronic medical record technology that facilitated the collaboration of PBMCs with physicians. </w:t>
      </w:r>
    </w:p>
    <w:p w14:paraId="605C6FB4" w14:textId="77777777" w:rsidR="00A116CE" w:rsidRDefault="00A116CE">
      <w:pPr>
        <w:pStyle w:val="BodyA"/>
        <w:rPr>
          <w:rStyle w:val="None"/>
          <w:rFonts w:ascii="Calibri" w:eastAsia="Calibri" w:hAnsi="Calibri" w:cs="Calibri"/>
          <w:sz w:val="22"/>
          <w:szCs w:val="22"/>
        </w:rPr>
      </w:pPr>
    </w:p>
    <w:p w14:paraId="553628C7" w14:textId="6F262491" w:rsidR="00A116CE" w:rsidRDefault="004E7B23">
      <w:pPr>
        <w:pStyle w:val="BodyA"/>
        <w:rPr>
          <w:rStyle w:val="None"/>
          <w:rFonts w:ascii="Calibri" w:eastAsia="Calibri" w:hAnsi="Calibri" w:cs="Calibri"/>
          <w:sz w:val="22"/>
          <w:szCs w:val="22"/>
        </w:rPr>
      </w:pPr>
      <w:r>
        <w:rPr>
          <w:rStyle w:val="None"/>
          <w:rFonts w:ascii="Calibri" w:eastAsia="Calibri" w:hAnsi="Calibri" w:cs="Calibri"/>
          <w:sz w:val="22"/>
          <w:szCs w:val="22"/>
        </w:rPr>
        <w:t>After the proof-of-concept phase, patients who pa</w:t>
      </w:r>
      <w:r w:rsidR="00162FED">
        <w:rPr>
          <w:rStyle w:val="None"/>
          <w:rFonts w:ascii="Calibri" w:eastAsia="Calibri" w:hAnsi="Calibri" w:cs="Calibri"/>
          <w:sz w:val="22"/>
          <w:szCs w:val="22"/>
        </w:rPr>
        <w:t>rticipated in this</w:t>
      </w:r>
      <w:r>
        <w:rPr>
          <w:rStyle w:val="None"/>
          <w:rFonts w:ascii="Calibri" w:eastAsia="Calibri" w:hAnsi="Calibri" w:cs="Calibri"/>
          <w:sz w:val="22"/>
          <w:szCs w:val="22"/>
        </w:rPr>
        <w:t xml:space="preserve"> program were compared to patients who received usual care in the pre-existing tobacco cessation and weight loss programs at UPMC. Success rates for smoking cessation were about double that of usual care, and weight loss rates were comparable. </w:t>
      </w:r>
    </w:p>
    <w:p w14:paraId="19C732B6" w14:textId="77777777" w:rsidR="00A116CE" w:rsidRDefault="00A116CE">
      <w:pPr>
        <w:pStyle w:val="BodyA"/>
        <w:rPr>
          <w:rStyle w:val="None"/>
          <w:rFonts w:ascii="Calibri" w:eastAsia="Calibri" w:hAnsi="Calibri" w:cs="Calibri"/>
          <w:sz w:val="22"/>
          <w:szCs w:val="22"/>
        </w:rPr>
      </w:pPr>
    </w:p>
    <w:p w14:paraId="09F1307C" w14:textId="77777777" w:rsidR="00A116CE" w:rsidRPr="004E7B23" w:rsidRDefault="004E7B23">
      <w:pPr>
        <w:pStyle w:val="BodyA"/>
        <w:rPr>
          <w:rStyle w:val="None"/>
          <w:rFonts w:ascii="Calibri" w:eastAsia="Calibri" w:hAnsi="Calibri" w:cs="Calibri"/>
          <w:i/>
          <w:szCs w:val="22"/>
        </w:rPr>
      </w:pPr>
      <w:r w:rsidRPr="004E7B23">
        <w:rPr>
          <w:rStyle w:val="None"/>
          <w:rFonts w:ascii="Calibri" w:eastAsia="Calibri" w:hAnsi="Calibri" w:cs="Calibri"/>
          <w:i/>
          <w:szCs w:val="22"/>
        </w:rPr>
        <w:t>Maners RJ, Bakow E, Parkinson MD, Fischer GS, Camp GR. UPMC prescription for wellness: a quality improvement case study for supporting patient engagement and health behavior change. Am J Med Quality 2017; 33(3):274-282.</w:t>
      </w:r>
    </w:p>
    <w:p w14:paraId="61341CA7" w14:textId="04D851E4" w:rsidR="00A116CE" w:rsidRDefault="00295B64">
      <w:pPr>
        <w:pStyle w:val="BodyA"/>
      </w:pPr>
      <w:hyperlink r:id="rId11" w:history="1">
        <w:r w:rsidR="004E7B23" w:rsidRPr="004E7B23">
          <w:rPr>
            <w:rStyle w:val="Hyperlink1"/>
            <w:rFonts w:ascii="Calibri" w:hAnsi="Calibri" w:cs="Calibri"/>
            <w:i/>
            <w:sz w:val="18"/>
          </w:rPr>
          <w:t>http://journals.sagepub.com/doi/full/10.1177/1062860617741670</w:t>
        </w:r>
      </w:hyperlink>
      <w:r w:rsidR="004E7B23" w:rsidRPr="004E7B23">
        <w:rPr>
          <w:rStyle w:val="None"/>
          <w:rFonts w:ascii="Calibri" w:eastAsia="Calibri" w:hAnsi="Calibri" w:cs="Calibri"/>
          <w:i/>
          <w:szCs w:val="22"/>
        </w:rPr>
        <w:t xml:space="preserve"> </w:t>
      </w:r>
      <w:r w:rsidR="004E7B23">
        <w:rPr>
          <w:rStyle w:val="None"/>
          <w:rFonts w:ascii="Calibri" w:eastAsia="Calibri" w:hAnsi="Calibri" w:cs="Calibri"/>
          <w:sz w:val="22"/>
          <w:szCs w:val="22"/>
        </w:rPr>
        <w:t xml:space="preserve"> </w:t>
      </w:r>
    </w:p>
    <w:sectPr w:rsidR="00A116CE">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BB876" w14:textId="77777777" w:rsidR="00561613" w:rsidRDefault="004E7B23">
      <w:r>
        <w:separator/>
      </w:r>
    </w:p>
  </w:endnote>
  <w:endnote w:type="continuationSeparator" w:id="0">
    <w:p w14:paraId="4A02EA42" w14:textId="77777777" w:rsidR="00561613" w:rsidRDefault="004E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E3A89" w14:textId="77777777" w:rsidR="00A116CE" w:rsidRDefault="004E7B23">
    <w:pPr>
      <w:pStyle w:val="Body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765B8" w14:textId="77777777" w:rsidR="00561613" w:rsidRDefault="004E7B23">
      <w:r>
        <w:separator/>
      </w:r>
    </w:p>
  </w:footnote>
  <w:footnote w:type="continuationSeparator" w:id="0">
    <w:p w14:paraId="18CA6FD0" w14:textId="77777777" w:rsidR="00561613" w:rsidRDefault="004E7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F6035" w14:textId="77777777" w:rsidR="00A116CE" w:rsidRDefault="004E7B23">
    <w:pPr>
      <w:pStyle w:val="Header"/>
      <w:tabs>
        <w:tab w:val="clear" w:pos="9360"/>
        <w:tab w:val="right" w:pos="9340"/>
      </w:tabs>
    </w:pPr>
    <w:r>
      <w:rPr>
        <w:noProof/>
      </w:rPr>
      <w:drawing>
        <wp:anchor distT="152400" distB="152400" distL="152400" distR="152400" simplePos="0" relativeHeight="251658240" behindDoc="1" locked="0" layoutInCell="1" allowOverlap="1" wp14:anchorId="3B40F513" wp14:editId="4606A9C7">
          <wp:simplePos x="0" y="0"/>
          <wp:positionH relativeFrom="page">
            <wp:posOffset>210185</wp:posOffset>
          </wp:positionH>
          <wp:positionV relativeFrom="page">
            <wp:posOffset>236220</wp:posOffset>
          </wp:positionV>
          <wp:extent cx="7351395" cy="713106"/>
          <wp:effectExtent l="0" t="0" r="0" b="0"/>
          <wp:wrapNone/>
          <wp:docPr id="1073741825" name="officeArt object" descr="Header.jpg"/>
          <wp:cNvGraphicFramePr/>
          <a:graphic xmlns:a="http://schemas.openxmlformats.org/drawingml/2006/main">
            <a:graphicData uri="http://schemas.openxmlformats.org/drawingml/2006/picture">
              <pic:pic xmlns:pic="http://schemas.openxmlformats.org/drawingml/2006/picture">
                <pic:nvPicPr>
                  <pic:cNvPr id="1073741825" name="Header.jpg" descr="Header.jpg"/>
                  <pic:cNvPicPr>
                    <a:picLocks noChangeAspect="1"/>
                  </pic:cNvPicPr>
                </pic:nvPicPr>
                <pic:blipFill>
                  <a:blip r:embed="rId1">
                    <a:extLst/>
                  </a:blip>
                  <a:stretch>
                    <a:fillRect/>
                  </a:stretch>
                </pic:blipFill>
                <pic:spPr>
                  <a:xfrm>
                    <a:off x="0" y="0"/>
                    <a:ext cx="7351395" cy="713106"/>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08AC02E6" wp14:editId="49F7EF98">
              <wp:simplePos x="0" y="0"/>
              <wp:positionH relativeFrom="page">
                <wp:posOffset>228600</wp:posOffset>
              </wp:positionH>
              <wp:positionV relativeFrom="page">
                <wp:posOffset>9180830</wp:posOffset>
              </wp:positionV>
              <wp:extent cx="7315202" cy="0"/>
              <wp:effectExtent l="0" t="0" r="0" b="0"/>
              <wp:wrapNone/>
              <wp:docPr id="1073741826" name="officeArt object" descr="Straight Connector 2"/>
              <wp:cNvGraphicFramePr/>
              <a:graphic xmlns:a="http://schemas.openxmlformats.org/drawingml/2006/main">
                <a:graphicData uri="http://schemas.microsoft.com/office/word/2010/wordprocessingShape">
                  <wps:wsp>
                    <wps:cNvCnPr/>
                    <wps:spPr>
                      <a:xfrm>
                        <a:off x="0" y="0"/>
                        <a:ext cx="7315202" cy="0"/>
                      </a:xfrm>
                      <a:prstGeom prst="line">
                        <a:avLst/>
                      </a:prstGeom>
                      <a:noFill/>
                      <a:ln w="19050" cap="flat">
                        <a:solidFill>
                          <a:srgbClr val="DA4B2C"/>
                        </a:solidFill>
                        <a:prstDash val="solid"/>
                        <a:miter lim="800000"/>
                      </a:ln>
                      <a:effectLst/>
                    </wps:spPr>
                    <wps:bodyPr/>
                  </wps:wsp>
                </a:graphicData>
              </a:graphic>
            </wp:anchor>
          </w:drawing>
        </mc:Choice>
        <mc:Fallback>
          <w:pict>
            <v:line w14:anchorId="5252E9B4" id="officeArt object" o:spid="_x0000_s1026" alt="Straight Connector 2"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8pt,722.9pt" to="594pt,7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" strokecolor="#da4b2c" strokeweight="1.5pt">
              <v:stroke joinstyle="miter"/>
              <w10:wrap anchorx="page" anchory="page"/>
            </v:line>
          </w:pict>
        </mc:Fallback>
      </mc:AlternateContent>
    </w:r>
    <w:r>
      <w:rPr>
        <w:noProof/>
      </w:rPr>
      <mc:AlternateContent>
        <mc:Choice Requires="wps">
          <w:drawing>
            <wp:anchor distT="152400" distB="152400" distL="152400" distR="152400" simplePos="0" relativeHeight="251660288" behindDoc="1" locked="0" layoutInCell="1" allowOverlap="1" wp14:anchorId="47AF8358" wp14:editId="334E9ABD">
              <wp:simplePos x="0" y="0"/>
              <wp:positionH relativeFrom="page">
                <wp:posOffset>165100</wp:posOffset>
              </wp:positionH>
              <wp:positionV relativeFrom="page">
                <wp:posOffset>9290050</wp:posOffset>
              </wp:positionV>
              <wp:extent cx="7430135" cy="342900"/>
              <wp:effectExtent l="0" t="0" r="0" b="0"/>
              <wp:wrapNone/>
              <wp:docPr id="1073741827" name="officeArt object" descr="Text Box 3"/>
              <wp:cNvGraphicFramePr/>
              <a:graphic xmlns:a="http://schemas.openxmlformats.org/drawingml/2006/main">
                <a:graphicData uri="http://schemas.microsoft.com/office/word/2010/wordprocessingShape">
                  <wps:wsp>
                    <wps:cNvSpPr txBox="1"/>
                    <wps:spPr>
                      <a:xfrm>
                        <a:off x="0" y="0"/>
                        <a:ext cx="7430135" cy="342900"/>
                      </a:xfrm>
                      <a:prstGeom prst="rect">
                        <a:avLst/>
                      </a:prstGeom>
                      <a:noFill/>
                      <a:ln w="12700" cap="flat">
                        <a:noFill/>
                        <a:miter lim="400000"/>
                      </a:ln>
                      <a:effectLst/>
                    </wps:spPr>
                    <wps:txbx>
                      <w:txbxContent>
                        <w:p w14:paraId="7E1D3C43" w14:textId="77777777" w:rsidR="00A116CE" w:rsidRDefault="004E7B23">
                          <w:pPr>
                            <w:pStyle w:val="BodyA"/>
                            <w:jc w:val="center"/>
                          </w:pPr>
                          <w:r>
                            <w:rPr>
                              <w:rFonts w:ascii="Calibri" w:eastAsia="Calibri" w:hAnsi="Calibri" w:cs="Calibri"/>
                              <w:b/>
                              <w:bCs/>
                              <w:i/>
                              <w:iCs/>
                              <w:color w:val="4794BB"/>
                              <w:sz w:val="28"/>
                              <w:szCs w:val="28"/>
                              <w:u w:color="4794BB"/>
                              <w:shd w:val="clear" w:color="auto" w:fill="FFFFFF"/>
                            </w:rPr>
                            <w:t>DrWayneJonas.com/HOPE</w:t>
                          </w:r>
                        </w:p>
                      </w:txbxContent>
                    </wps:txbx>
                    <wps:bodyPr wrap="square" lIns="45718" tIns="45718" rIns="45718" bIns="45718" numCol="1" anchor="t">
                      <a:noAutofit/>
                    </wps:bodyPr>
                  </wps:wsp>
                </a:graphicData>
              </a:graphic>
            </wp:anchor>
          </w:drawing>
        </mc:Choice>
        <mc:Fallback>
          <w:pict>
            <v:shapetype w14:anchorId="47AF8358" id="_x0000_t202" coordsize="21600,21600" o:spt="202" path="m,l,21600r21600,l21600,xe">
              <v:stroke joinstyle="miter"/>
              <v:path gradientshapeok="t" o:connecttype="rect"/>
            </v:shapetype>
            <v:shape id="_x0000_s1027" type="#_x0000_t202" alt="Text Box 3" style="position:absolute;margin-left:13pt;margin-top:731.5pt;width:585.05pt;height:27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" filled="f" stroked="f" strokeweight="1pt">
              <v:stroke miterlimit="4"/>
              <v:textbox inset="1.2699mm,1.2699mm,1.2699mm,1.2699mm">
                <w:txbxContent>
                  <w:p w14:paraId="7E1D3C43" w14:textId="77777777" w:rsidR="00A116CE" w:rsidRDefault="004E7B23">
                    <w:pPr>
                      <w:pStyle w:val="BodyA"/>
                      <w:jc w:val="center"/>
                    </w:pPr>
                    <w:r>
                      <w:rPr>
                        <w:rFonts w:ascii="Calibri" w:eastAsia="Calibri" w:hAnsi="Calibri" w:cs="Calibri"/>
                        <w:b/>
                        <w:bCs/>
                        <w:i/>
                        <w:iCs/>
                        <w:color w:val="4794BB"/>
                        <w:sz w:val="28"/>
                        <w:szCs w:val="28"/>
                        <w:u w:color="4794BB"/>
                        <w:shd w:val="clear" w:color="auto" w:fill="FFFFFF"/>
                      </w:rPr>
                      <w:t>DrWayneJonas.com/HOPE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91350"/>
    <w:multiLevelType w:val="hybridMultilevel"/>
    <w:tmpl w:val="2CB0E85C"/>
    <w:lvl w:ilvl="0" w:tplc="C82842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C060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C84A1C">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096D9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664B1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AA9B00">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D2806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EE9F1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A22D0A">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67219BA"/>
    <w:multiLevelType w:val="hybridMultilevel"/>
    <w:tmpl w:val="50089FC8"/>
    <w:numStyleLink w:val="ImportedStyle2"/>
  </w:abstractNum>
  <w:abstractNum w:abstractNumId="2" w15:restartNumberingAfterBreak="0">
    <w:nsid w:val="6DA76270"/>
    <w:multiLevelType w:val="hybridMultilevel"/>
    <w:tmpl w:val="50089FC8"/>
    <w:styleLink w:val="ImportedStyle2"/>
    <w:lvl w:ilvl="0" w:tplc="6826E65A">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FC2F22E">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1786DBC">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464AE2A">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C82F3F6">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82E8598">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48E9216">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A8CA794">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828E5B4">
      <w:start w:val="1"/>
      <w:numFmt w:val="bullet"/>
      <w:lvlText w:val="·"/>
      <w:lvlJc w:val="left"/>
      <w:pPr>
        <w:tabs>
          <w:tab w:val="left" w:pos="720"/>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6CE"/>
    <w:rsid w:val="0005510B"/>
    <w:rsid w:val="000A5F18"/>
    <w:rsid w:val="001430DD"/>
    <w:rsid w:val="00162FED"/>
    <w:rsid w:val="001A0231"/>
    <w:rsid w:val="001E4BC3"/>
    <w:rsid w:val="00200E99"/>
    <w:rsid w:val="002760F8"/>
    <w:rsid w:val="00295B64"/>
    <w:rsid w:val="00330C19"/>
    <w:rsid w:val="00417094"/>
    <w:rsid w:val="004E7B23"/>
    <w:rsid w:val="00531FDB"/>
    <w:rsid w:val="00561613"/>
    <w:rsid w:val="005A7716"/>
    <w:rsid w:val="00717AD8"/>
    <w:rsid w:val="007C1E98"/>
    <w:rsid w:val="00956A3F"/>
    <w:rsid w:val="00A116CE"/>
    <w:rsid w:val="00B62F13"/>
    <w:rsid w:val="00D972E7"/>
    <w:rsid w:val="00DE478B"/>
    <w:rsid w:val="00F5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B0AC"/>
  <w15:docId w15:val="{A300F6C3-F435-4AFE-B5FB-B30959BF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u w:color="000000"/>
    </w:rPr>
  </w:style>
  <w:style w:type="paragraph" w:customStyle="1" w:styleId="BodyA">
    <w:name w:val="Body A"/>
    <w:rPr>
      <w:rFonts w:cs="Arial Unicode MS"/>
      <w:color w:val="000000"/>
      <w:u w:color="000000"/>
    </w:rPr>
  </w:style>
  <w:style w:type="paragraph" w:customStyle="1" w:styleId="Heading">
    <w:name w:val="Heading"/>
    <w:next w:val="BodyA"/>
    <w:pPr>
      <w:keepNext/>
      <w:keepLines/>
      <w:spacing w:before="240"/>
      <w:outlineLvl w:val="0"/>
    </w:pPr>
    <w:rPr>
      <w:rFonts w:ascii="Calibri Light" w:eastAsia="Calibri Light" w:hAnsi="Calibri Light" w:cs="Calibri Light"/>
      <w:color w:val="2F5496"/>
      <w:sz w:val="32"/>
      <w:szCs w:val="32"/>
      <w:u w:color="2F5496"/>
    </w:rPr>
  </w:style>
  <w:style w:type="paragraph" w:styleId="ListParagraph">
    <w:name w:val="List Paragraph"/>
    <w:pPr>
      <w:ind w:left="720"/>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Calibri" w:eastAsia="Calibri" w:hAnsi="Calibri" w:cs="Calibri"/>
      <w:color w:val="4472C4"/>
      <w:sz w:val="22"/>
      <w:szCs w:val="22"/>
      <w:u w:val="single" w:color="4472C4"/>
      <w:lang w:val="en-US"/>
    </w:rPr>
  </w:style>
  <w:style w:type="paragraph" w:customStyle="1" w:styleId="Body">
    <w:name w:val="Body"/>
    <w:rPr>
      <w:rFonts w:eastAsia="Times New Roman"/>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NormalWeb">
    <w:name w:val="Normal (Web)"/>
    <w:uiPriority w:val="99"/>
    <w:pPr>
      <w:spacing w:before="100" w:after="100"/>
    </w:pPr>
    <w:rPr>
      <w:rFonts w:cs="Arial Unicode MS"/>
      <w:color w:val="000000"/>
      <w:sz w:val="24"/>
      <w:szCs w:val="24"/>
      <w:u w:color="000000"/>
    </w:rPr>
  </w:style>
  <w:style w:type="numbering" w:customStyle="1" w:styleId="ImportedStyle2">
    <w:name w:val="Imported Style 2"/>
    <w:pPr>
      <w:numPr>
        <w:numId w:val="2"/>
      </w:numPr>
    </w:pPr>
  </w:style>
  <w:style w:type="character" w:customStyle="1" w:styleId="Hyperlink1">
    <w:name w:val="Hyperlink.1"/>
    <w:basedOn w:val="Hyperlink"/>
    <w:rPr>
      <w:color w:val="0000FF"/>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1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F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17094"/>
    <w:rPr>
      <w:b/>
      <w:bCs/>
    </w:rPr>
  </w:style>
  <w:style w:type="character" w:customStyle="1" w:styleId="CommentSubjectChar">
    <w:name w:val="Comment Subject Char"/>
    <w:basedOn w:val="CommentTextChar"/>
    <w:link w:val="CommentSubject"/>
    <w:uiPriority w:val="99"/>
    <w:semiHidden/>
    <w:rsid w:val="00417094"/>
    <w:rPr>
      <w:b/>
      <w:bCs/>
    </w:rPr>
  </w:style>
  <w:style w:type="paragraph" w:styleId="Revision">
    <w:name w:val="Revision"/>
    <w:hidden/>
    <w:uiPriority w:val="99"/>
    <w:semiHidden/>
    <w:rsid w:val="0041709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1A02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ustainablehealthsystem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tepsforward.org/modules/health-coachin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als.sagepub.com/doi/full/10.1177/106286061774167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afp.org/fpm/2014/0300/p10.html" TargetMode="External"/><Relationship Id="rId4" Type="http://schemas.openxmlformats.org/officeDocument/2006/relationships/webSettings" Target="webSettings.xml"/><Relationship Id="rId9" Type="http://schemas.openxmlformats.org/officeDocument/2006/relationships/hyperlink" Target="https://wellcoachesschoo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Dorr</dc:creator>
  <cp:lastModifiedBy>Jennifer Dorr</cp:lastModifiedBy>
  <cp:revision>4</cp:revision>
  <dcterms:created xsi:type="dcterms:W3CDTF">2018-10-29T16:29:00Z</dcterms:created>
  <dcterms:modified xsi:type="dcterms:W3CDTF">2018-10-29T16:37:00Z</dcterms:modified>
</cp:coreProperties>
</file>